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2F1C" w14:textId="4C2912AE" w:rsidR="005636D0" w:rsidRPr="00FD5F6D" w:rsidRDefault="00F87FB6" w:rsidP="00CD201F">
      <w:pPr>
        <w:pStyle w:val="LRHHeading"/>
        <w:rPr>
          <w:rFonts w:asciiTheme="minorHAnsi" w:hAnsiTheme="minorHAnsi" w:cstheme="minorHAnsi"/>
          <w:lang w:val="en-US"/>
        </w:rPr>
      </w:pPr>
      <w:r w:rsidRPr="00FD5F6D">
        <w:rPr>
          <w:rFonts w:asciiTheme="minorHAnsi" w:hAnsiTheme="minorHAnsi" w:cstheme="minorHAnsi"/>
          <w:noProof/>
        </w:rPr>
        <w:drawing>
          <wp:anchor distT="0" distB="0" distL="114300" distR="114300" simplePos="0" relativeHeight="251663359" behindDoc="0" locked="0" layoutInCell="1" allowOverlap="1" wp14:anchorId="3DF48E38" wp14:editId="0D643D51">
            <wp:simplePos x="0" y="0"/>
            <wp:positionH relativeFrom="margin">
              <wp:align>center</wp:align>
            </wp:positionH>
            <wp:positionV relativeFrom="paragraph">
              <wp:posOffset>-1076325</wp:posOffset>
            </wp:positionV>
            <wp:extent cx="7618205" cy="10771731"/>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18205" cy="10771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B72453" w14:textId="0DCF20A0" w:rsidR="005636D0" w:rsidRPr="00FD5F6D" w:rsidRDefault="005636D0" w:rsidP="00CD201F">
      <w:pPr>
        <w:pStyle w:val="LRHHeading"/>
        <w:rPr>
          <w:rFonts w:asciiTheme="minorHAnsi" w:hAnsiTheme="minorHAnsi" w:cstheme="minorHAnsi"/>
          <w:lang w:val="en-US"/>
        </w:rPr>
      </w:pPr>
    </w:p>
    <w:p w14:paraId="46C8064B" w14:textId="36FB7954" w:rsidR="005636D0" w:rsidRPr="00FD5F6D" w:rsidRDefault="005636D0" w:rsidP="00CD201F">
      <w:pPr>
        <w:pStyle w:val="LRHHeading"/>
        <w:rPr>
          <w:rFonts w:asciiTheme="minorHAnsi" w:hAnsiTheme="minorHAnsi" w:cstheme="minorHAnsi"/>
          <w:lang w:val="en-US"/>
        </w:rPr>
      </w:pPr>
    </w:p>
    <w:p w14:paraId="3DC3E50A" w14:textId="025766F9" w:rsidR="005636D0" w:rsidRPr="00FD5F6D" w:rsidRDefault="005636D0" w:rsidP="00CD201F">
      <w:pPr>
        <w:pStyle w:val="LRHHeading"/>
        <w:rPr>
          <w:rFonts w:asciiTheme="minorHAnsi" w:hAnsiTheme="minorHAnsi" w:cstheme="minorHAnsi"/>
          <w:lang w:val="en-US"/>
        </w:rPr>
      </w:pPr>
    </w:p>
    <w:p w14:paraId="07F5A8F5" w14:textId="1C6E6CB5" w:rsidR="005636D0" w:rsidRPr="00FD5F6D" w:rsidRDefault="005636D0" w:rsidP="00CD201F">
      <w:pPr>
        <w:pStyle w:val="LRHHeading"/>
        <w:rPr>
          <w:rFonts w:asciiTheme="minorHAnsi" w:hAnsiTheme="minorHAnsi" w:cstheme="minorHAnsi"/>
          <w:lang w:val="en-US"/>
        </w:rPr>
      </w:pPr>
    </w:p>
    <w:p w14:paraId="484FD7FE" w14:textId="2BEA5C77" w:rsidR="005636D0" w:rsidRPr="00FD5F6D" w:rsidRDefault="005636D0" w:rsidP="00CD201F">
      <w:pPr>
        <w:pStyle w:val="LRHHeading"/>
        <w:rPr>
          <w:rFonts w:asciiTheme="minorHAnsi" w:hAnsiTheme="minorHAnsi" w:cstheme="minorHAnsi"/>
          <w:lang w:val="en-US"/>
        </w:rPr>
      </w:pPr>
    </w:p>
    <w:p w14:paraId="2B300CCC" w14:textId="32558320" w:rsidR="005636D0" w:rsidRPr="00FD5F6D" w:rsidRDefault="005636D0" w:rsidP="00CD201F">
      <w:pPr>
        <w:pStyle w:val="LRHHeading"/>
        <w:rPr>
          <w:rFonts w:asciiTheme="minorHAnsi" w:hAnsiTheme="minorHAnsi" w:cstheme="minorHAnsi"/>
          <w:lang w:val="en-US"/>
        </w:rPr>
      </w:pPr>
    </w:p>
    <w:p w14:paraId="3F1E6197" w14:textId="74B420D8" w:rsidR="005636D0" w:rsidRPr="00FD5F6D" w:rsidRDefault="005636D0" w:rsidP="00CD201F">
      <w:pPr>
        <w:pStyle w:val="LRHHeading"/>
        <w:rPr>
          <w:rFonts w:asciiTheme="minorHAnsi" w:hAnsiTheme="minorHAnsi" w:cstheme="minorHAnsi"/>
          <w:lang w:val="en-US"/>
        </w:rPr>
      </w:pPr>
    </w:p>
    <w:p w14:paraId="174A7194" w14:textId="32983F2A" w:rsidR="005636D0" w:rsidRPr="00FD5F6D" w:rsidRDefault="005636D0" w:rsidP="00CD201F">
      <w:pPr>
        <w:pStyle w:val="LRHHeading"/>
        <w:rPr>
          <w:rFonts w:asciiTheme="minorHAnsi" w:hAnsiTheme="minorHAnsi" w:cstheme="minorHAnsi"/>
          <w:lang w:val="en-US"/>
        </w:rPr>
      </w:pPr>
    </w:p>
    <w:p w14:paraId="3526AE3E" w14:textId="15BC088D" w:rsidR="005636D0" w:rsidRPr="00FD5F6D" w:rsidRDefault="005359B8" w:rsidP="00CD201F">
      <w:pPr>
        <w:pStyle w:val="LRHHeading"/>
        <w:rPr>
          <w:rFonts w:asciiTheme="minorHAnsi" w:hAnsiTheme="minorHAnsi" w:cstheme="minorHAnsi"/>
          <w:lang w:val="en-US"/>
        </w:rPr>
      </w:pPr>
      <w:r w:rsidRPr="00C86F4A">
        <w:rPr>
          <w:rFonts w:asciiTheme="minorHAnsi" w:hAnsiTheme="minorHAnsi" w:cstheme="minorHAnsi"/>
          <w:noProof/>
          <w:lang w:val="en-US"/>
        </w:rPr>
        <mc:AlternateContent>
          <mc:Choice Requires="wps">
            <w:drawing>
              <wp:anchor distT="45720" distB="45720" distL="114300" distR="114300" simplePos="0" relativeHeight="251664384" behindDoc="0" locked="0" layoutInCell="1" allowOverlap="1" wp14:anchorId="56EE7E7A" wp14:editId="69A0B7FA">
                <wp:simplePos x="0" y="0"/>
                <wp:positionH relativeFrom="column">
                  <wp:posOffset>342900</wp:posOffset>
                </wp:positionH>
                <wp:positionV relativeFrom="paragraph">
                  <wp:posOffset>107315</wp:posOffset>
                </wp:positionV>
                <wp:extent cx="5048250" cy="19799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979930"/>
                        </a:xfrm>
                        <a:prstGeom prst="rect">
                          <a:avLst/>
                        </a:prstGeom>
                        <a:noFill/>
                        <a:ln w="9525">
                          <a:noFill/>
                          <a:miter lim="800000"/>
                          <a:headEnd/>
                          <a:tailEnd/>
                        </a:ln>
                      </wps:spPr>
                      <wps:txbx>
                        <w:txbxContent>
                          <w:p w14:paraId="0F559DC4" w14:textId="32CAE9A7" w:rsidR="00C86F4A" w:rsidRPr="00C86F4A" w:rsidRDefault="005359B8" w:rsidP="00B716A0">
                            <w:pPr>
                              <w:pStyle w:val="LRHHeading"/>
                              <w:spacing w:before="100" w:beforeAutospacing="1" w:after="100" w:afterAutospacing="1" w:line="240" w:lineRule="auto"/>
                              <w:rPr>
                                <w:color w:val="F2F2F2" w:themeColor="background1" w:themeShade="F2"/>
                                <w:sz w:val="124"/>
                                <w:szCs w:val="124"/>
                              </w:rPr>
                            </w:pPr>
                            <w:r>
                              <w:rPr>
                                <w:color w:val="F2F2F2" w:themeColor="background1" w:themeShade="F2"/>
                                <w:sz w:val="124"/>
                                <w:szCs w:val="124"/>
                              </w:rPr>
                              <w:t>Consultant Psychiatrist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E7E7A" id="_x0000_t202" coordsize="21600,21600" o:spt="202" path="m,l,21600r21600,l21600,xe">
                <v:stroke joinstyle="miter"/>
                <v:path gradientshapeok="t" o:connecttype="rect"/>
              </v:shapetype>
              <v:shape id="Text Box 2" o:spid="_x0000_s1026" type="#_x0000_t202" style="position:absolute;margin-left:27pt;margin-top:8.45pt;width:397.5pt;height:15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" filled="f" stroked="f">
                <v:textbox>
                  <w:txbxContent>
                    <w:p w14:paraId="0F559DC4" w14:textId="32CAE9A7" w:rsidR="00C86F4A" w:rsidRPr="00C86F4A" w:rsidRDefault="005359B8" w:rsidP="00B716A0">
                      <w:pPr>
                        <w:pStyle w:val="LRHHeading"/>
                        <w:spacing w:before="100" w:beforeAutospacing="1" w:after="100" w:afterAutospacing="1" w:line="240" w:lineRule="auto"/>
                        <w:rPr>
                          <w:color w:val="F2F2F2" w:themeColor="background1" w:themeShade="F2"/>
                          <w:sz w:val="124"/>
                          <w:szCs w:val="124"/>
                        </w:rPr>
                      </w:pPr>
                      <w:r>
                        <w:rPr>
                          <w:color w:val="F2F2F2" w:themeColor="background1" w:themeShade="F2"/>
                          <w:sz w:val="124"/>
                          <w:szCs w:val="124"/>
                        </w:rPr>
                        <w:t>Consultant Psychiatrist</w:t>
                      </w:r>
                    </w:p>
                  </w:txbxContent>
                </v:textbox>
                <w10:wrap type="square"/>
              </v:shape>
            </w:pict>
          </mc:Fallback>
        </mc:AlternateContent>
      </w:r>
    </w:p>
    <w:p w14:paraId="580A6B2E" w14:textId="723556E5" w:rsidR="005636D0" w:rsidRPr="00FD5F6D" w:rsidRDefault="005636D0" w:rsidP="00CD201F">
      <w:pPr>
        <w:pStyle w:val="LRHHeading"/>
        <w:rPr>
          <w:rFonts w:asciiTheme="minorHAnsi" w:hAnsiTheme="minorHAnsi" w:cstheme="minorHAnsi"/>
          <w:lang w:val="en-US"/>
        </w:rPr>
      </w:pPr>
    </w:p>
    <w:p w14:paraId="0655B466" w14:textId="0AD86EBF" w:rsidR="005636D0" w:rsidRPr="00FD5F6D" w:rsidRDefault="005636D0" w:rsidP="00CD201F">
      <w:pPr>
        <w:pStyle w:val="LRHHeading"/>
        <w:rPr>
          <w:rFonts w:asciiTheme="minorHAnsi" w:hAnsiTheme="minorHAnsi" w:cstheme="minorHAnsi"/>
          <w:lang w:val="en-US"/>
        </w:rPr>
      </w:pPr>
    </w:p>
    <w:p w14:paraId="257DA31E" w14:textId="7997C34D" w:rsidR="005636D0" w:rsidRPr="00FD5F6D" w:rsidRDefault="005636D0" w:rsidP="00CD201F">
      <w:pPr>
        <w:pStyle w:val="LRHHeading"/>
        <w:rPr>
          <w:rFonts w:asciiTheme="minorHAnsi" w:hAnsiTheme="minorHAnsi" w:cstheme="minorHAnsi"/>
          <w:lang w:val="en-US"/>
        </w:rPr>
      </w:pPr>
    </w:p>
    <w:p w14:paraId="4D88851D" w14:textId="3A27EE16" w:rsidR="005636D0" w:rsidRPr="00FD5F6D" w:rsidRDefault="005636D0" w:rsidP="00CD201F">
      <w:pPr>
        <w:pStyle w:val="LRHHeading"/>
        <w:rPr>
          <w:rFonts w:asciiTheme="minorHAnsi" w:hAnsiTheme="minorHAnsi" w:cstheme="minorHAnsi"/>
          <w:lang w:val="en-US"/>
        </w:rPr>
      </w:pPr>
    </w:p>
    <w:p w14:paraId="633ECA83" w14:textId="2D0C303E" w:rsidR="005636D0" w:rsidRPr="00FD5F6D" w:rsidRDefault="005636D0" w:rsidP="00CD201F">
      <w:pPr>
        <w:pStyle w:val="LRHHeading"/>
        <w:rPr>
          <w:rFonts w:asciiTheme="minorHAnsi" w:hAnsiTheme="minorHAnsi" w:cstheme="minorHAnsi"/>
          <w:lang w:val="en-US"/>
        </w:rPr>
      </w:pPr>
    </w:p>
    <w:p w14:paraId="46584E19" w14:textId="5017DA3C" w:rsidR="005636D0" w:rsidRPr="00FD5F6D" w:rsidRDefault="005636D0" w:rsidP="00CD201F">
      <w:pPr>
        <w:pStyle w:val="LRHHeading"/>
        <w:rPr>
          <w:rFonts w:asciiTheme="minorHAnsi" w:hAnsiTheme="minorHAnsi" w:cstheme="minorHAnsi"/>
          <w:lang w:val="en-US"/>
        </w:rPr>
      </w:pPr>
    </w:p>
    <w:p w14:paraId="051D2C23" w14:textId="6164E77D" w:rsidR="005636D0" w:rsidRPr="00FD5F6D" w:rsidRDefault="005636D0" w:rsidP="00CD201F">
      <w:pPr>
        <w:pStyle w:val="LRHHeading"/>
        <w:rPr>
          <w:rFonts w:asciiTheme="minorHAnsi" w:hAnsiTheme="minorHAnsi" w:cstheme="minorHAnsi"/>
          <w:lang w:val="en-US"/>
        </w:rPr>
      </w:pPr>
    </w:p>
    <w:p w14:paraId="7975FBAA" w14:textId="23532A77" w:rsidR="005636D0" w:rsidRPr="00FD5F6D" w:rsidRDefault="005636D0" w:rsidP="00CD201F">
      <w:pPr>
        <w:pStyle w:val="LRHHeading"/>
        <w:rPr>
          <w:rFonts w:asciiTheme="minorHAnsi" w:hAnsiTheme="minorHAnsi" w:cstheme="minorHAnsi"/>
          <w:lang w:val="en-US"/>
        </w:rPr>
      </w:pPr>
    </w:p>
    <w:p w14:paraId="67A8DE6D" w14:textId="07E7711E" w:rsidR="005636D0" w:rsidRPr="00FD5F6D" w:rsidRDefault="005636D0" w:rsidP="00CD201F">
      <w:pPr>
        <w:pStyle w:val="LRHHeading"/>
        <w:rPr>
          <w:rFonts w:asciiTheme="minorHAnsi" w:hAnsiTheme="minorHAnsi" w:cstheme="minorHAnsi"/>
          <w:lang w:val="en-US"/>
        </w:rPr>
      </w:pPr>
    </w:p>
    <w:p w14:paraId="7FEDE4A7" w14:textId="77777777" w:rsidR="005636D0" w:rsidRPr="00FD5F6D" w:rsidRDefault="005636D0" w:rsidP="00CD201F">
      <w:pPr>
        <w:pStyle w:val="LRHHeading"/>
        <w:rPr>
          <w:rFonts w:asciiTheme="minorHAnsi" w:hAnsiTheme="minorHAnsi" w:cstheme="minorHAnsi"/>
          <w:lang w:val="en-US"/>
        </w:rPr>
      </w:pPr>
    </w:p>
    <w:p w14:paraId="49666C8F" w14:textId="76EE8DD6" w:rsidR="005636D0" w:rsidRPr="00FD5F6D" w:rsidRDefault="005636D0" w:rsidP="00CD201F">
      <w:pPr>
        <w:pStyle w:val="LRHHeading"/>
        <w:rPr>
          <w:rFonts w:asciiTheme="minorHAnsi" w:hAnsiTheme="minorHAnsi" w:cstheme="minorHAnsi"/>
          <w:lang w:val="en-US"/>
        </w:rPr>
      </w:pPr>
    </w:p>
    <w:p w14:paraId="5F2D5B1D" w14:textId="77777777" w:rsidR="005636D0" w:rsidRPr="00FD5F6D" w:rsidRDefault="005636D0" w:rsidP="00CD201F">
      <w:pPr>
        <w:pStyle w:val="LRHHeading"/>
        <w:rPr>
          <w:rFonts w:asciiTheme="minorHAnsi" w:hAnsiTheme="minorHAnsi" w:cstheme="minorHAnsi"/>
          <w:lang w:val="en-US"/>
        </w:rPr>
      </w:pPr>
    </w:p>
    <w:p w14:paraId="1E65D9F0" w14:textId="77777777" w:rsidR="005636D0" w:rsidRPr="00FD5F6D" w:rsidRDefault="005636D0" w:rsidP="00CD201F">
      <w:pPr>
        <w:pStyle w:val="LRHHeading"/>
        <w:rPr>
          <w:rFonts w:asciiTheme="minorHAnsi" w:hAnsiTheme="minorHAnsi" w:cstheme="minorHAnsi"/>
          <w:lang w:val="en-US"/>
        </w:rPr>
      </w:pPr>
    </w:p>
    <w:p w14:paraId="2FD139AA" w14:textId="77777777" w:rsidR="005636D0" w:rsidRPr="00FD5F6D" w:rsidRDefault="005636D0" w:rsidP="00CD201F">
      <w:pPr>
        <w:pStyle w:val="LRHHeading"/>
        <w:rPr>
          <w:rFonts w:asciiTheme="minorHAnsi" w:hAnsiTheme="minorHAnsi" w:cstheme="minorHAnsi"/>
          <w:lang w:val="en-US"/>
        </w:rPr>
      </w:pPr>
    </w:p>
    <w:p w14:paraId="32A85CA6" w14:textId="70670DBA" w:rsidR="005636D0" w:rsidRPr="00FD5F6D" w:rsidRDefault="005636D0" w:rsidP="00CD201F">
      <w:pPr>
        <w:pStyle w:val="LRHHeading"/>
        <w:rPr>
          <w:rFonts w:asciiTheme="minorHAnsi" w:hAnsiTheme="minorHAnsi" w:cstheme="minorHAnsi"/>
          <w:lang w:val="en-US"/>
        </w:rPr>
      </w:pPr>
    </w:p>
    <w:p w14:paraId="48879F37" w14:textId="78AE66AB" w:rsidR="005636D0" w:rsidRPr="00FD5F6D" w:rsidRDefault="005636D0" w:rsidP="00CD201F">
      <w:pPr>
        <w:pStyle w:val="LRHHeading"/>
        <w:rPr>
          <w:rFonts w:asciiTheme="minorHAnsi" w:hAnsiTheme="minorHAnsi" w:cstheme="minorHAnsi"/>
          <w:lang w:val="en-US"/>
        </w:rPr>
      </w:pPr>
    </w:p>
    <w:p w14:paraId="01931BF5" w14:textId="75575A29" w:rsidR="005E191C" w:rsidRDefault="005E191C" w:rsidP="005E191C">
      <w:pPr>
        <w:pStyle w:val="LRHNormal"/>
        <w:rPr>
          <w:rStyle w:val="Hyperlink"/>
          <w:rFonts w:asciiTheme="minorHAnsi" w:hAnsiTheme="minorHAnsi" w:cstheme="minorHAnsi"/>
          <w:sz w:val="21"/>
          <w:szCs w:val="21"/>
        </w:rPr>
      </w:pPr>
      <w:bookmarkStart w:id="0" w:name="_Hlk13876998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5"/>
      </w:tblGrid>
      <w:tr w:rsidR="00C86F4A" w:rsidRPr="00C86F4A" w14:paraId="35846E0E" w14:textId="77777777" w:rsidTr="005C3399">
        <w:trPr>
          <w:trHeight w:val="709"/>
          <w:jc w:val="center"/>
        </w:trPr>
        <w:tc>
          <w:tcPr>
            <w:tcW w:w="9016" w:type="dxa"/>
            <w:gridSpan w:val="2"/>
            <w:tcBorders>
              <w:bottom w:val="single" w:sz="4" w:space="0" w:color="044B3D"/>
            </w:tcBorders>
            <w:shd w:val="clear" w:color="auto" w:fill="auto"/>
            <w:vAlign w:val="center"/>
          </w:tcPr>
          <w:p w14:paraId="3152188C" w14:textId="2A687995" w:rsidR="00C86F4A" w:rsidRPr="00C86F4A" w:rsidRDefault="00C86F4A" w:rsidP="00C86F4A">
            <w:pPr>
              <w:pStyle w:val="LRHNormal"/>
              <w:rPr>
                <w:b/>
                <w:bCs/>
              </w:rPr>
            </w:pPr>
            <w:bookmarkStart w:id="1" w:name="_Hlk135133851"/>
            <w:bookmarkStart w:id="2" w:name="_Hlk135133162"/>
            <w:r w:rsidRPr="00C86F4A">
              <w:rPr>
                <w:b/>
                <w:bCs/>
              </w:rPr>
              <w:lastRenderedPageBreak/>
              <w:t>POSITION DESCRIPTION</w:t>
            </w:r>
          </w:p>
        </w:tc>
      </w:tr>
      <w:tr w:rsidR="00C86F4A" w:rsidRPr="00C86F4A" w14:paraId="064CB02B" w14:textId="77777777" w:rsidTr="005C3399">
        <w:trPr>
          <w:trHeight w:val="483"/>
          <w:jc w:val="center"/>
        </w:trPr>
        <w:tc>
          <w:tcPr>
            <w:tcW w:w="3261" w:type="dxa"/>
            <w:tcBorders>
              <w:top w:val="single" w:sz="4" w:space="0" w:color="044B3D"/>
            </w:tcBorders>
            <w:vAlign w:val="center"/>
          </w:tcPr>
          <w:p w14:paraId="347ED598" w14:textId="77777777" w:rsidR="00C86F4A" w:rsidRPr="001905BD" w:rsidRDefault="00C86F4A" w:rsidP="001905BD">
            <w:pPr>
              <w:pStyle w:val="LRHNormal"/>
              <w:rPr>
                <w:rStyle w:val="Strong"/>
              </w:rPr>
            </w:pPr>
            <w:r w:rsidRPr="001905BD">
              <w:rPr>
                <w:rStyle w:val="Strong"/>
              </w:rPr>
              <w:t>Position Title:</w:t>
            </w:r>
          </w:p>
        </w:tc>
        <w:tc>
          <w:tcPr>
            <w:tcW w:w="5755" w:type="dxa"/>
            <w:tcBorders>
              <w:top w:val="single" w:sz="4" w:space="0" w:color="044B3D"/>
            </w:tcBorders>
            <w:vAlign w:val="center"/>
          </w:tcPr>
          <w:p w14:paraId="00D4FF24" w14:textId="56F4CE27" w:rsidR="00C86F4A" w:rsidRPr="00C86F4A" w:rsidRDefault="005359B8" w:rsidP="00C86F4A">
            <w:pPr>
              <w:pStyle w:val="LRHNormal"/>
            </w:pPr>
            <w:r>
              <w:t>Consultant Psychiatrist</w:t>
            </w:r>
          </w:p>
        </w:tc>
      </w:tr>
      <w:tr w:rsidR="00C86F4A" w:rsidRPr="00C86F4A" w14:paraId="32A744BC" w14:textId="77777777" w:rsidTr="009032FD">
        <w:trPr>
          <w:trHeight w:val="483"/>
          <w:jc w:val="center"/>
        </w:trPr>
        <w:tc>
          <w:tcPr>
            <w:tcW w:w="3261" w:type="dxa"/>
            <w:vAlign w:val="center"/>
          </w:tcPr>
          <w:p w14:paraId="470F1BEB" w14:textId="77777777" w:rsidR="00C86F4A" w:rsidRPr="001905BD" w:rsidRDefault="00C86F4A" w:rsidP="001905BD">
            <w:pPr>
              <w:pStyle w:val="LRHNormal"/>
              <w:rPr>
                <w:rStyle w:val="Strong"/>
              </w:rPr>
            </w:pPr>
            <w:r w:rsidRPr="001905BD">
              <w:rPr>
                <w:rStyle w:val="Strong"/>
              </w:rPr>
              <w:t>Enterprise Agreement:</w:t>
            </w:r>
          </w:p>
        </w:tc>
        <w:tc>
          <w:tcPr>
            <w:tcW w:w="5755" w:type="dxa"/>
            <w:vAlign w:val="center"/>
          </w:tcPr>
          <w:p w14:paraId="29AED17C" w14:textId="7D5B0F2B" w:rsidR="00C86F4A" w:rsidRPr="00C86F4A" w:rsidRDefault="005359B8" w:rsidP="00C86F4A">
            <w:pPr>
              <w:pStyle w:val="LRHNormal"/>
            </w:pPr>
            <w:r>
              <w:t xml:space="preserve">Medical Specialists (Victorian Public Health </w:t>
            </w:r>
            <w:proofErr w:type="gramStart"/>
            <w:r>
              <w:t>Sector)(</w:t>
            </w:r>
            <w:proofErr w:type="gramEnd"/>
            <w:r>
              <w:t>AMA Victoria/ASMOF)(Single Interest Employers) Enterprise Agreement 2022-2026</w:t>
            </w:r>
          </w:p>
        </w:tc>
      </w:tr>
      <w:tr w:rsidR="00C86F4A" w:rsidRPr="00C86F4A" w14:paraId="78379060" w14:textId="77777777" w:rsidTr="009032FD">
        <w:trPr>
          <w:trHeight w:val="483"/>
          <w:jc w:val="center"/>
        </w:trPr>
        <w:tc>
          <w:tcPr>
            <w:tcW w:w="3261" w:type="dxa"/>
            <w:vAlign w:val="center"/>
          </w:tcPr>
          <w:p w14:paraId="5604AD19" w14:textId="77777777" w:rsidR="00C86F4A" w:rsidRPr="001905BD" w:rsidRDefault="00C86F4A" w:rsidP="001905BD">
            <w:pPr>
              <w:pStyle w:val="LRHNormal"/>
              <w:rPr>
                <w:rStyle w:val="Strong"/>
              </w:rPr>
            </w:pPr>
            <w:r w:rsidRPr="001905BD">
              <w:rPr>
                <w:rStyle w:val="Strong"/>
              </w:rPr>
              <w:t>Classification:</w:t>
            </w:r>
          </w:p>
        </w:tc>
        <w:tc>
          <w:tcPr>
            <w:tcW w:w="5755" w:type="dxa"/>
            <w:vAlign w:val="center"/>
          </w:tcPr>
          <w:p w14:paraId="0C7178E5" w14:textId="0F986281" w:rsidR="00C86F4A" w:rsidRPr="00C86F4A" w:rsidRDefault="005359B8" w:rsidP="00C86F4A">
            <w:pPr>
              <w:pStyle w:val="LRHNormal"/>
            </w:pPr>
            <w:r>
              <w:t>Dependant on qualifications</w:t>
            </w:r>
          </w:p>
        </w:tc>
      </w:tr>
      <w:tr w:rsidR="00C86F4A" w:rsidRPr="00C86F4A" w14:paraId="29BC416E" w14:textId="77777777" w:rsidTr="009032FD">
        <w:trPr>
          <w:trHeight w:val="483"/>
          <w:jc w:val="center"/>
        </w:trPr>
        <w:tc>
          <w:tcPr>
            <w:tcW w:w="3261" w:type="dxa"/>
            <w:vAlign w:val="center"/>
          </w:tcPr>
          <w:p w14:paraId="06AAB302" w14:textId="77777777" w:rsidR="00C86F4A" w:rsidRPr="001905BD" w:rsidRDefault="00C86F4A" w:rsidP="001905BD">
            <w:pPr>
              <w:pStyle w:val="LRHNormal"/>
              <w:rPr>
                <w:rStyle w:val="Strong"/>
              </w:rPr>
            </w:pPr>
            <w:r w:rsidRPr="001905BD">
              <w:rPr>
                <w:rStyle w:val="Strong"/>
              </w:rPr>
              <w:t>Division:</w:t>
            </w:r>
            <w:r w:rsidRPr="001905BD">
              <w:t xml:space="preserve"> </w:t>
            </w:r>
          </w:p>
        </w:tc>
        <w:tc>
          <w:tcPr>
            <w:tcW w:w="5755" w:type="dxa"/>
            <w:vAlign w:val="center"/>
          </w:tcPr>
          <w:p w14:paraId="5DA1F837" w14:textId="421F277D" w:rsidR="00C86F4A" w:rsidRPr="00C86F4A" w:rsidRDefault="005359B8" w:rsidP="00C86F4A">
            <w:pPr>
              <w:pStyle w:val="LRHNormal"/>
            </w:pPr>
            <w:r>
              <w:t>Medical Services</w:t>
            </w:r>
          </w:p>
        </w:tc>
      </w:tr>
      <w:tr w:rsidR="00C86F4A" w:rsidRPr="00C86F4A" w14:paraId="7559DA59" w14:textId="77777777" w:rsidTr="009032FD">
        <w:trPr>
          <w:trHeight w:val="483"/>
          <w:jc w:val="center"/>
        </w:trPr>
        <w:tc>
          <w:tcPr>
            <w:tcW w:w="3261" w:type="dxa"/>
            <w:vAlign w:val="center"/>
          </w:tcPr>
          <w:p w14:paraId="3626DE92" w14:textId="77777777" w:rsidR="00C86F4A" w:rsidRPr="001905BD" w:rsidRDefault="00C86F4A" w:rsidP="001905BD">
            <w:pPr>
              <w:pStyle w:val="LRHNormal"/>
              <w:rPr>
                <w:rStyle w:val="Strong"/>
              </w:rPr>
            </w:pPr>
            <w:r w:rsidRPr="001905BD">
              <w:rPr>
                <w:rStyle w:val="Strong"/>
              </w:rPr>
              <w:t>Department/Unit:</w:t>
            </w:r>
          </w:p>
        </w:tc>
        <w:tc>
          <w:tcPr>
            <w:tcW w:w="5755" w:type="dxa"/>
            <w:vAlign w:val="center"/>
          </w:tcPr>
          <w:p w14:paraId="0C355711" w14:textId="6654840C" w:rsidR="00C86F4A" w:rsidRPr="00C86F4A" w:rsidRDefault="005359B8" w:rsidP="00C86F4A">
            <w:pPr>
              <w:pStyle w:val="LRHNormal"/>
            </w:pPr>
            <w:r>
              <w:t xml:space="preserve">Mental Health </w:t>
            </w:r>
          </w:p>
        </w:tc>
      </w:tr>
      <w:tr w:rsidR="00C86F4A" w:rsidRPr="00C86F4A" w14:paraId="523A77CB" w14:textId="77777777" w:rsidTr="009032FD">
        <w:trPr>
          <w:trHeight w:val="483"/>
          <w:jc w:val="center"/>
        </w:trPr>
        <w:tc>
          <w:tcPr>
            <w:tcW w:w="3261" w:type="dxa"/>
            <w:vAlign w:val="center"/>
          </w:tcPr>
          <w:p w14:paraId="131A8ADC" w14:textId="77777777" w:rsidR="00C86F4A" w:rsidRPr="001905BD" w:rsidRDefault="00C86F4A" w:rsidP="001905BD">
            <w:pPr>
              <w:pStyle w:val="LRHNormal"/>
              <w:rPr>
                <w:rStyle w:val="Strong"/>
              </w:rPr>
            </w:pPr>
            <w:r w:rsidRPr="001905BD">
              <w:rPr>
                <w:rStyle w:val="Strong"/>
              </w:rPr>
              <w:t>Reports to:</w:t>
            </w:r>
          </w:p>
        </w:tc>
        <w:tc>
          <w:tcPr>
            <w:tcW w:w="5755" w:type="dxa"/>
            <w:vAlign w:val="center"/>
          </w:tcPr>
          <w:p w14:paraId="7C4DDD94" w14:textId="51BB019D" w:rsidR="00C86F4A" w:rsidRPr="00C86F4A" w:rsidRDefault="005359B8" w:rsidP="00C86F4A">
            <w:pPr>
              <w:pStyle w:val="LRHNormal"/>
            </w:pPr>
            <w:r>
              <w:t>Clinical Director Mental Health Services</w:t>
            </w:r>
          </w:p>
        </w:tc>
      </w:tr>
      <w:tr w:rsidR="00C86F4A" w:rsidRPr="00C86F4A" w14:paraId="7DBAEDF9" w14:textId="77777777" w:rsidTr="009032FD">
        <w:trPr>
          <w:trHeight w:val="483"/>
          <w:jc w:val="center"/>
        </w:trPr>
        <w:tc>
          <w:tcPr>
            <w:tcW w:w="3261" w:type="dxa"/>
            <w:vAlign w:val="center"/>
          </w:tcPr>
          <w:p w14:paraId="326F18A2" w14:textId="77777777" w:rsidR="00C86F4A" w:rsidRPr="001905BD" w:rsidRDefault="00C86F4A" w:rsidP="001905BD">
            <w:pPr>
              <w:pStyle w:val="LRHNormal"/>
              <w:rPr>
                <w:rStyle w:val="Strong"/>
              </w:rPr>
            </w:pPr>
            <w:r w:rsidRPr="001905BD">
              <w:rPr>
                <w:rStyle w:val="Strong"/>
              </w:rPr>
              <w:t>Immunisation Category:</w:t>
            </w:r>
          </w:p>
        </w:tc>
        <w:tc>
          <w:tcPr>
            <w:tcW w:w="5755" w:type="dxa"/>
            <w:vAlign w:val="center"/>
          </w:tcPr>
          <w:p w14:paraId="6B10C74E" w14:textId="0E39D5A1" w:rsidR="00C86F4A" w:rsidRPr="00C86F4A" w:rsidRDefault="00C86F4A" w:rsidP="00C86F4A">
            <w:pPr>
              <w:pStyle w:val="LRHNormal"/>
            </w:pPr>
            <w:r w:rsidRPr="005359B8">
              <w:t xml:space="preserve">Category A </w:t>
            </w:r>
          </w:p>
        </w:tc>
      </w:tr>
      <w:bookmarkEnd w:id="1"/>
      <w:tr w:rsidR="00C86F4A" w:rsidRPr="00C86F4A" w14:paraId="31B0F43F" w14:textId="77777777" w:rsidTr="000D79BC">
        <w:trPr>
          <w:trHeight w:val="103"/>
          <w:jc w:val="center"/>
        </w:trPr>
        <w:tc>
          <w:tcPr>
            <w:tcW w:w="3261" w:type="dxa"/>
            <w:vAlign w:val="center"/>
          </w:tcPr>
          <w:p w14:paraId="0748665E" w14:textId="77777777" w:rsidR="00C86F4A" w:rsidRPr="00C86F4A" w:rsidRDefault="00C86F4A" w:rsidP="00C86F4A">
            <w:pPr>
              <w:pStyle w:val="LRHNormal"/>
              <w:rPr>
                <w:rStyle w:val="Strong"/>
                <w:b w:val="0"/>
                <w:bCs w:val="0"/>
              </w:rPr>
            </w:pPr>
          </w:p>
        </w:tc>
        <w:tc>
          <w:tcPr>
            <w:tcW w:w="5755" w:type="dxa"/>
            <w:vAlign w:val="center"/>
          </w:tcPr>
          <w:p w14:paraId="7F8BCFD4" w14:textId="77777777" w:rsidR="00C86F4A" w:rsidRPr="00C86F4A" w:rsidRDefault="00C86F4A" w:rsidP="00C86F4A">
            <w:pPr>
              <w:pStyle w:val="LRHNormal"/>
            </w:pPr>
          </w:p>
        </w:tc>
      </w:tr>
      <w:tr w:rsidR="00C86F4A" w:rsidRPr="00C86F4A" w14:paraId="74760DE0" w14:textId="77777777" w:rsidTr="000D79BC">
        <w:trPr>
          <w:trHeight w:val="737"/>
          <w:jc w:val="center"/>
        </w:trPr>
        <w:tc>
          <w:tcPr>
            <w:tcW w:w="9016" w:type="dxa"/>
            <w:gridSpan w:val="2"/>
            <w:tcBorders>
              <w:bottom w:val="single" w:sz="4" w:space="0" w:color="auto"/>
            </w:tcBorders>
            <w:shd w:val="clear" w:color="auto" w:fill="auto"/>
            <w:vAlign w:val="center"/>
          </w:tcPr>
          <w:p w14:paraId="76429C60" w14:textId="77777777" w:rsidR="00C86F4A" w:rsidRPr="005C3399" w:rsidRDefault="00C86F4A" w:rsidP="005C3399">
            <w:pPr>
              <w:pStyle w:val="LRHNormal"/>
              <w:rPr>
                <w:b/>
                <w:bCs/>
              </w:rPr>
            </w:pPr>
            <w:bookmarkStart w:id="3" w:name="_Hlk135133894"/>
            <w:bookmarkStart w:id="4" w:name="_Hlk135133194"/>
            <w:bookmarkEnd w:id="2"/>
            <w:r w:rsidRPr="005C3399">
              <w:rPr>
                <w:b/>
                <w:bCs/>
              </w:rPr>
              <w:t>POSITION SUMMARY</w:t>
            </w:r>
          </w:p>
        </w:tc>
      </w:tr>
    </w:tbl>
    <w:bookmarkEnd w:id="3"/>
    <w:bookmarkEnd w:id="4"/>
    <w:p w14:paraId="04B163DB" w14:textId="040F6263" w:rsidR="000D79BC" w:rsidRDefault="005359B8" w:rsidP="005D06B0">
      <w:pPr>
        <w:pStyle w:val="LRHNormal"/>
        <w:jc w:val="both"/>
      </w:pPr>
      <w:r>
        <w:t xml:space="preserve">The consultant psychiatrist position provides high level psychiatric services as part of the Mental Health Program at Latrobe Regional Health. This is a senior Medical Position and carries with it the professional responsibilities of clinical leadership, teaching and training as well as administrative requirements. </w:t>
      </w:r>
    </w:p>
    <w:tbl>
      <w:tblPr>
        <w:tblStyle w:val="TableGrid"/>
        <w:tblW w:w="0" w:type="auto"/>
        <w:jc w:val="center"/>
        <w:tblLook w:val="04A0" w:firstRow="1" w:lastRow="0" w:firstColumn="1" w:lastColumn="0" w:noHBand="0" w:noVBand="1"/>
      </w:tblPr>
      <w:tblGrid>
        <w:gridCol w:w="9016"/>
      </w:tblGrid>
      <w:tr w:rsidR="000D79BC" w:rsidRPr="00C86F4A" w14:paraId="45E57C9B" w14:textId="77777777" w:rsidTr="000D79BC">
        <w:trPr>
          <w:trHeight w:val="737"/>
          <w:jc w:val="center"/>
        </w:trPr>
        <w:tc>
          <w:tcPr>
            <w:tcW w:w="9016" w:type="dxa"/>
            <w:tcBorders>
              <w:top w:val="nil"/>
              <w:left w:val="nil"/>
              <w:bottom w:val="single" w:sz="4" w:space="0" w:color="auto"/>
              <w:right w:val="nil"/>
            </w:tcBorders>
            <w:shd w:val="clear" w:color="auto" w:fill="auto"/>
            <w:vAlign w:val="center"/>
          </w:tcPr>
          <w:p w14:paraId="5AF36138" w14:textId="4F2E0DF3" w:rsidR="000D79BC" w:rsidRPr="005C3399" w:rsidRDefault="000D79BC" w:rsidP="005D06B0">
            <w:pPr>
              <w:pStyle w:val="LRHNormal"/>
              <w:jc w:val="both"/>
              <w:rPr>
                <w:b/>
                <w:bCs/>
              </w:rPr>
            </w:pPr>
            <w:r w:rsidRPr="005C3399">
              <w:rPr>
                <w:b/>
                <w:bCs/>
              </w:rPr>
              <w:t>ABOUT THE ROLE</w:t>
            </w:r>
          </w:p>
        </w:tc>
      </w:tr>
    </w:tbl>
    <w:p w14:paraId="21CE7AE4" w14:textId="5DDEDBE0" w:rsidR="000D79BC" w:rsidRPr="00C86F4A" w:rsidRDefault="000D79BC" w:rsidP="005D06B0">
      <w:pPr>
        <w:pStyle w:val="LRHNormal"/>
        <w:jc w:val="both"/>
      </w:pPr>
      <w:r w:rsidRPr="00C86F4A">
        <w:t xml:space="preserve">The key accountabilities of the </w:t>
      </w:r>
      <w:r w:rsidR="005359B8">
        <w:t>Consultant Psychiatrist</w:t>
      </w:r>
      <w:r w:rsidRPr="00C86F4A">
        <w:t xml:space="preserve"> include, but are not limited to:</w:t>
      </w:r>
    </w:p>
    <w:p w14:paraId="44C66EB7" w14:textId="77777777" w:rsidR="005359B8" w:rsidRDefault="005359B8" w:rsidP="005D06B0">
      <w:pPr>
        <w:pStyle w:val="Default"/>
        <w:jc w:val="both"/>
      </w:pPr>
    </w:p>
    <w:p w14:paraId="0B923C53" w14:textId="02343007" w:rsidR="005359B8" w:rsidRDefault="005359B8" w:rsidP="005D06B0">
      <w:pPr>
        <w:pStyle w:val="Default"/>
        <w:jc w:val="both"/>
        <w:rPr>
          <w:rFonts w:asciiTheme="minorHAnsi" w:hAnsiTheme="minorHAnsi" w:cstheme="minorHAnsi"/>
          <w:b/>
          <w:bCs/>
        </w:rPr>
      </w:pPr>
      <w:r w:rsidRPr="002B2373">
        <w:rPr>
          <w:rFonts w:asciiTheme="minorHAnsi" w:hAnsiTheme="minorHAnsi" w:cstheme="minorHAnsi"/>
          <w:b/>
          <w:bCs/>
        </w:rPr>
        <w:t xml:space="preserve">Clinical responsibilities </w:t>
      </w:r>
    </w:p>
    <w:p w14:paraId="27233604" w14:textId="4DED46D6" w:rsidR="002B2373" w:rsidRPr="005D06B0" w:rsidRDefault="002B2373" w:rsidP="005D06B0">
      <w:pPr>
        <w:pStyle w:val="Default"/>
        <w:numPr>
          <w:ilvl w:val="0"/>
          <w:numId w:val="27"/>
        </w:numPr>
        <w:jc w:val="both"/>
        <w:rPr>
          <w:rFonts w:asciiTheme="minorHAnsi" w:hAnsiTheme="minorHAnsi" w:cstheme="minorHAnsi"/>
          <w:b/>
          <w:bCs/>
        </w:rPr>
      </w:pPr>
      <w:r>
        <w:rPr>
          <w:rFonts w:asciiTheme="minorHAnsi" w:hAnsiTheme="minorHAnsi" w:cstheme="minorHAnsi"/>
        </w:rPr>
        <w:t xml:space="preserve">Ensure high quality </w:t>
      </w:r>
      <w:r w:rsidR="005D06B0">
        <w:rPr>
          <w:rFonts w:asciiTheme="minorHAnsi" w:hAnsiTheme="minorHAnsi" w:cstheme="minorHAnsi"/>
        </w:rPr>
        <w:t xml:space="preserve">acute assessment and treatment services are provided to the patients of the service. </w:t>
      </w:r>
    </w:p>
    <w:p w14:paraId="22C35490" w14:textId="6E4583A2" w:rsidR="005D06B0" w:rsidRPr="005D06B0" w:rsidRDefault="005D06B0" w:rsidP="005D06B0">
      <w:pPr>
        <w:pStyle w:val="Default"/>
        <w:numPr>
          <w:ilvl w:val="0"/>
          <w:numId w:val="27"/>
        </w:numPr>
        <w:jc w:val="both"/>
        <w:rPr>
          <w:rFonts w:asciiTheme="minorHAnsi" w:hAnsiTheme="minorHAnsi" w:cstheme="minorHAnsi"/>
          <w:b/>
          <w:bCs/>
        </w:rPr>
      </w:pPr>
      <w:r>
        <w:rPr>
          <w:rFonts w:asciiTheme="minorHAnsi" w:hAnsiTheme="minorHAnsi" w:cstheme="minorHAnsi"/>
        </w:rPr>
        <w:t xml:space="preserve">Ensure all records are kept current with timely and accurate documentation of the </w:t>
      </w:r>
      <w:proofErr w:type="gramStart"/>
      <w:r>
        <w:rPr>
          <w:rFonts w:asciiTheme="minorHAnsi" w:hAnsiTheme="minorHAnsi" w:cstheme="minorHAnsi"/>
        </w:rPr>
        <w:t>patients</w:t>
      </w:r>
      <w:proofErr w:type="gramEnd"/>
      <w:r>
        <w:rPr>
          <w:rFonts w:asciiTheme="minorHAnsi" w:hAnsiTheme="minorHAnsi" w:cstheme="minorHAnsi"/>
        </w:rPr>
        <w:t xml:space="preserve"> progress</w:t>
      </w:r>
    </w:p>
    <w:p w14:paraId="7BD7C493" w14:textId="2EFFE1EA" w:rsidR="005D06B0" w:rsidRPr="005D06B0" w:rsidRDefault="005D06B0" w:rsidP="005D06B0">
      <w:pPr>
        <w:pStyle w:val="Default"/>
        <w:numPr>
          <w:ilvl w:val="0"/>
          <w:numId w:val="27"/>
        </w:numPr>
        <w:jc w:val="both"/>
        <w:rPr>
          <w:rFonts w:asciiTheme="minorHAnsi" w:hAnsiTheme="minorHAnsi" w:cstheme="minorHAnsi"/>
          <w:b/>
          <w:bCs/>
        </w:rPr>
      </w:pPr>
      <w:r>
        <w:rPr>
          <w:rFonts w:asciiTheme="minorHAnsi" w:hAnsiTheme="minorHAnsi" w:cstheme="minorHAnsi"/>
        </w:rPr>
        <w:t>Ensure compliance with the Mental Health Act</w:t>
      </w:r>
    </w:p>
    <w:p w14:paraId="6565D586" w14:textId="77777777" w:rsidR="005D06B0" w:rsidRDefault="005D06B0" w:rsidP="005D06B0">
      <w:pPr>
        <w:pStyle w:val="Default"/>
        <w:numPr>
          <w:ilvl w:val="0"/>
          <w:numId w:val="27"/>
        </w:numPr>
        <w:jc w:val="both"/>
        <w:rPr>
          <w:rFonts w:asciiTheme="minorHAnsi" w:hAnsiTheme="minorHAnsi" w:cstheme="minorHAnsi"/>
          <w:b/>
          <w:bCs/>
        </w:rPr>
      </w:pPr>
      <w:r>
        <w:rPr>
          <w:rFonts w:asciiTheme="minorHAnsi" w:hAnsiTheme="minorHAnsi" w:cstheme="minorHAnsi"/>
        </w:rPr>
        <w:t>Undertake collaborative clinical services, governance, and teaching and supervisory duties</w:t>
      </w:r>
    </w:p>
    <w:p w14:paraId="370F8BF7" w14:textId="77777777" w:rsidR="005D06B0" w:rsidRDefault="005359B8" w:rsidP="005D06B0">
      <w:pPr>
        <w:pStyle w:val="Default"/>
        <w:numPr>
          <w:ilvl w:val="0"/>
          <w:numId w:val="27"/>
        </w:numPr>
        <w:jc w:val="both"/>
        <w:rPr>
          <w:rFonts w:asciiTheme="minorHAnsi" w:hAnsiTheme="minorHAnsi" w:cstheme="minorHAnsi"/>
          <w:b/>
          <w:bCs/>
        </w:rPr>
      </w:pPr>
      <w:r w:rsidRPr="005D06B0">
        <w:rPr>
          <w:rFonts w:ascii="Calibri" w:hAnsi="Calibri" w:cs="Calibri"/>
        </w:rPr>
        <w:t xml:space="preserve">Provide treatment to clients, using appropriate treatment modalities based on best practice models </w:t>
      </w:r>
    </w:p>
    <w:p w14:paraId="044E3D71" w14:textId="77777777" w:rsidR="005D06B0" w:rsidRDefault="005359B8" w:rsidP="005D06B0">
      <w:pPr>
        <w:pStyle w:val="Default"/>
        <w:numPr>
          <w:ilvl w:val="0"/>
          <w:numId w:val="27"/>
        </w:numPr>
        <w:jc w:val="both"/>
        <w:rPr>
          <w:rFonts w:asciiTheme="minorHAnsi" w:hAnsiTheme="minorHAnsi" w:cstheme="minorHAnsi"/>
          <w:b/>
          <w:bCs/>
        </w:rPr>
      </w:pPr>
      <w:r w:rsidRPr="005D06B0">
        <w:rPr>
          <w:rFonts w:ascii="Calibri" w:hAnsi="Calibri" w:cs="Calibri"/>
        </w:rPr>
        <w:t xml:space="preserve">Provide a family and culturally sensitive mental health service. </w:t>
      </w:r>
    </w:p>
    <w:p w14:paraId="4CAF855D" w14:textId="77777777" w:rsidR="005D06B0" w:rsidRDefault="005359B8" w:rsidP="005D06B0">
      <w:pPr>
        <w:pStyle w:val="Default"/>
        <w:numPr>
          <w:ilvl w:val="0"/>
          <w:numId w:val="27"/>
        </w:numPr>
        <w:jc w:val="both"/>
        <w:rPr>
          <w:rFonts w:asciiTheme="minorHAnsi" w:hAnsiTheme="minorHAnsi" w:cstheme="minorHAnsi"/>
          <w:b/>
          <w:bCs/>
        </w:rPr>
      </w:pPr>
      <w:r w:rsidRPr="005D06B0">
        <w:rPr>
          <w:rFonts w:ascii="Calibri" w:hAnsi="Calibri" w:cs="Calibri"/>
        </w:rPr>
        <w:lastRenderedPageBreak/>
        <w:t xml:space="preserve">Consultation (primary and secondary) to other professionals concerned with the care of mental health clients, such as general medical practitioners, workers in community health centres, PRDSS, drug and alcohol services etc. This may or may not involve assessment of the identified client </w:t>
      </w:r>
    </w:p>
    <w:p w14:paraId="16826DCF" w14:textId="77777777" w:rsidR="005D06B0" w:rsidRDefault="005359B8" w:rsidP="005D06B0">
      <w:pPr>
        <w:pStyle w:val="Default"/>
        <w:numPr>
          <w:ilvl w:val="0"/>
          <w:numId w:val="27"/>
        </w:numPr>
        <w:jc w:val="both"/>
        <w:rPr>
          <w:rFonts w:asciiTheme="minorHAnsi" w:hAnsiTheme="minorHAnsi" w:cstheme="minorHAnsi"/>
          <w:b/>
          <w:bCs/>
        </w:rPr>
      </w:pPr>
      <w:r w:rsidRPr="005D06B0">
        <w:rPr>
          <w:rFonts w:ascii="Calibri" w:hAnsi="Calibri" w:cs="Calibri"/>
        </w:rPr>
        <w:t xml:space="preserve">When necessary, the provision of medical reports on patients seen </w:t>
      </w:r>
    </w:p>
    <w:p w14:paraId="388C6E22" w14:textId="6A9CA568" w:rsidR="005359B8" w:rsidRPr="005D06B0" w:rsidRDefault="005359B8" w:rsidP="005D06B0">
      <w:pPr>
        <w:pStyle w:val="Default"/>
        <w:numPr>
          <w:ilvl w:val="0"/>
          <w:numId w:val="27"/>
        </w:numPr>
        <w:jc w:val="both"/>
        <w:rPr>
          <w:rFonts w:asciiTheme="minorHAnsi" w:hAnsiTheme="minorHAnsi" w:cstheme="minorHAnsi"/>
          <w:b/>
          <w:bCs/>
        </w:rPr>
      </w:pPr>
      <w:r w:rsidRPr="005D06B0">
        <w:rPr>
          <w:rFonts w:ascii="Calibri" w:hAnsi="Calibri" w:cs="Calibri"/>
        </w:rPr>
        <w:t xml:space="preserve">Prevention and early intervention: The Consultant Psychiatrist will participate in the development of prevention and early intervention programs in line with government reform </w:t>
      </w:r>
    </w:p>
    <w:p w14:paraId="7E69E3FE" w14:textId="77777777" w:rsidR="005359B8" w:rsidRDefault="005359B8" w:rsidP="005D06B0">
      <w:pPr>
        <w:pStyle w:val="Default"/>
        <w:jc w:val="both"/>
        <w:rPr>
          <w:sz w:val="20"/>
          <w:szCs w:val="20"/>
        </w:rPr>
      </w:pPr>
    </w:p>
    <w:p w14:paraId="3F5C78B7" w14:textId="24BB6EAD" w:rsidR="005359B8" w:rsidRPr="005D06B0" w:rsidRDefault="005359B8" w:rsidP="005D06B0">
      <w:pPr>
        <w:pStyle w:val="Default"/>
        <w:jc w:val="both"/>
        <w:rPr>
          <w:rFonts w:asciiTheme="minorHAnsi" w:hAnsiTheme="minorHAnsi" w:cstheme="minorHAnsi"/>
          <w:b/>
          <w:bCs/>
        </w:rPr>
      </w:pPr>
      <w:r w:rsidRPr="005D06B0">
        <w:rPr>
          <w:rFonts w:asciiTheme="minorHAnsi" w:hAnsiTheme="minorHAnsi" w:cstheme="minorHAnsi"/>
          <w:b/>
          <w:bCs/>
        </w:rPr>
        <w:t xml:space="preserve">Administrative responsibilities </w:t>
      </w:r>
    </w:p>
    <w:p w14:paraId="598FDE9E" w14:textId="77777777" w:rsidR="005359B8" w:rsidRDefault="005359B8" w:rsidP="005D06B0">
      <w:pPr>
        <w:pStyle w:val="Default"/>
        <w:jc w:val="both"/>
        <w:rPr>
          <w:sz w:val="20"/>
          <w:szCs w:val="20"/>
        </w:rPr>
      </w:pPr>
    </w:p>
    <w:p w14:paraId="58032EA5" w14:textId="77777777" w:rsidR="005D06B0" w:rsidRPr="005D06B0" w:rsidRDefault="005359B8" w:rsidP="005D06B0">
      <w:pPr>
        <w:pStyle w:val="Default"/>
        <w:numPr>
          <w:ilvl w:val="0"/>
          <w:numId w:val="28"/>
        </w:numPr>
        <w:spacing w:after="18"/>
        <w:jc w:val="both"/>
        <w:rPr>
          <w:rFonts w:asciiTheme="minorHAnsi" w:hAnsiTheme="minorHAnsi" w:cstheme="minorHAnsi"/>
        </w:rPr>
      </w:pPr>
      <w:r w:rsidRPr="005D06B0">
        <w:rPr>
          <w:rFonts w:asciiTheme="minorHAnsi" w:hAnsiTheme="minorHAnsi" w:cstheme="minorHAnsi"/>
        </w:rPr>
        <w:t xml:space="preserve">Seek to ensure that clients accepted to the mental health services are diagnosed and treated with appropriate and efficient use of available resources </w:t>
      </w:r>
    </w:p>
    <w:p w14:paraId="16353A2C" w14:textId="77777777" w:rsidR="005D06B0" w:rsidRPr="005D06B0" w:rsidRDefault="005359B8" w:rsidP="005D06B0">
      <w:pPr>
        <w:pStyle w:val="Default"/>
        <w:numPr>
          <w:ilvl w:val="0"/>
          <w:numId w:val="28"/>
        </w:numPr>
        <w:spacing w:after="18"/>
        <w:jc w:val="both"/>
        <w:rPr>
          <w:rFonts w:asciiTheme="minorHAnsi" w:hAnsiTheme="minorHAnsi" w:cstheme="minorHAnsi"/>
        </w:rPr>
      </w:pPr>
      <w:r w:rsidRPr="005D06B0">
        <w:rPr>
          <w:rFonts w:asciiTheme="minorHAnsi" w:hAnsiTheme="minorHAnsi" w:cstheme="minorHAnsi"/>
        </w:rPr>
        <w:t xml:space="preserve">Provide leadership in clinical reviews within the team and ensuring compliance to all legislative and KPI requirements </w:t>
      </w:r>
    </w:p>
    <w:p w14:paraId="1120FC07" w14:textId="77777777" w:rsidR="005D06B0" w:rsidRPr="005D06B0" w:rsidRDefault="005359B8" w:rsidP="005D06B0">
      <w:pPr>
        <w:pStyle w:val="Default"/>
        <w:numPr>
          <w:ilvl w:val="0"/>
          <w:numId w:val="28"/>
        </w:numPr>
        <w:spacing w:after="18"/>
        <w:jc w:val="both"/>
        <w:rPr>
          <w:rFonts w:asciiTheme="minorHAnsi" w:hAnsiTheme="minorHAnsi" w:cstheme="minorHAnsi"/>
        </w:rPr>
      </w:pPr>
      <w:r w:rsidRPr="005D06B0">
        <w:rPr>
          <w:rFonts w:asciiTheme="minorHAnsi" w:hAnsiTheme="minorHAnsi" w:cstheme="minorHAnsi"/>
        </w:rPr>
        <w:t xml:space="preserve">Facilitate good communication within the services and within the community by ensuring especially that appropriate letters and reports are sent to doctors and other referral agents and by participating in formal and informal meetings with appropriate professional and voluntary agencies </w:t>
      </w:r>
    </w:p>
    <w:p w14:paraId="6EE5E170" w14:textId="77777777" w:rsidR="005D06B0" w:rsidRPr="005D06B0" w:rsidRDefault="005359B8" w:rsidP="005D06B0">
      <w:pPr>
        <w:pStyle w:val="Default"/>
        <w:numPr>
          <w:ilvl w:val="0"/>
          <w:numId w:val="28"/>
        </w:numPr>
        <w:spacing w:after="18"/>
        <w:jc w:val="both"/>
        <w:rPr>
          <w:rFonts w:asciiTheme="minorHAnsi" w:hAnsiTheme="minorHAnsi" w:cstheme="minorHAnsi"/>
        </w:rPr>
      </w:pPr>
      <w:r w:rsidRPr="005D06B0">
        <w:rPr>
          <w:rFonts w:asciiTheme="minorHAnsi" w:hAnsiTheme="minorHAnsi" w:cstheme="minorHAnsi"/>
        </w:rPr>
        <w:t xml:space="preserve">Ensure the maintenance of confidentiality </w:t>
      </w:r>
    </w:p>
    <w:p w14:paraId="3A3662AC" w14:textId="77777777" w:rsidR="005D06B0" w:rsidRPr="005D06B0" w:rsidRDefault="005359B8" w:rsidP="005D06B0">
      <w:pPr>
        <w:pStyle w:val="Default"/>
        <w:numPr>
          <w:ilvl w:val="0"/>
          <w:numId w:val="28"/>
        </w:numPr>
        <w:spacing w:after="18"/>
        <w:jc w:val="both"/>
        <w:rPr>
          <w:rFonts w:asciiTheme="minorHAnsi" w:hAnsiTheme="minorHAnsi" w:cstheme="minorHAnsi"/>
        </w:rPr>
      </w:pPr>
      <w:r w:rsidRPr="005D06B0">
        <w:rPr>
          <w:rFonts w:asciiTheme="minorHAnsi" w:hAnsiTheme="minorHAnsi" w:cstheme="minorHAnsi"/>
        </w:rPr>
        <w:t xml:space="preserve">Collect appropriate information for the monitoring of current services and evaluation of new methods </w:t>
      </w:r>
    </w:p>
    <w:p w14:paraId="4975588D" w14:textId="7651C66E" w:rsidR="005359B8" w:rsidRPr="005D06B0" w:rsidRDefault="005359B8" w:rsidP="005D06B0">
      <w:pPr>
        <w:pStyle w:val="Default"/>
        <w:numPr>
          <w:ilvl w:val="0"/>
          <w:numId w:val="28"/>
        </w:numPr>
        <w:spacing w:after="18"/>
        <w:jc w:val="both"/>
        <w:rPr>
          <w:rFonts w:asciiTheme="minorHAnsi" w:hAnsiTheme="minorHAnsi" w:cstheme="minorHAnsi"/>
        </w:rPr>
      </w:pPr>
      <w:r w:rsidRPr="005D06B0">
        <w:rPr>
          <w:rFonts w:asciiTheme="minorHAnsi" w:hAnsiTheme="minorHAnsi" w:cstheme="minorHAnsi"/>
        </w:rPr>
        <w:t xml:space="preserve">Attend to appropriate committees and working parties </w:t>
      </w:r>
    </w:p>
    <w:p w14:paraId="7AF9C501" w14:textId="77777777" w:rsidR="005359B8" w:rsidRDefault="005359B8" w:rsidP="005D06B0">
      <w:pPr>
        <w:pStyle w:val="Default"/>
        <w:jc w:val="both"/>
        <w:rPr>
          <w:sz w:val="20"/>
          <w:szCs w:val="20"/>
        </w:rPr>
      </w:pPr>
    </w:p>
    <w:p w14:paraId="5B07B0E5" w14:textId="53742BF0" w:rsidR="005359B8" w:rsidRPr="005D06B0" w:rsidRDefault="005359B8" w:rsidP="005D06B0">
      <w:pPr>
        <w:pStyle w:val="Default"/>
        <w:jc w:val="both"/>
        <w:rPr>
          <w:rFonts w:asciiTheme="minorHAnsi" w:hAnsiTheme="minorHAnsi" w:cstheme="minorHAnsi"/>
          <w:b/>
          <w:bCs/>
        </w:rPr>
      </w:pPr>
      <w:r w:rsidRPr="005D06B0">
        <w:rPr>
          <w:rFonts w:asciiTheme="minorHAnsi" w:hAnsiTheme="minorHAnsi" w:cstheme="minorHAnsi"/>
          <w:b/>
          <w:bCs/>
        </w:rPr>
        <w:t xml:space="preserve">Teaching responsibilities </w:t>
      </w:r>
    </w:p>
    <w:p w14:paraId="511A3302" w14:textId="77777777" w:rsidR="005359B8" w:rsidRPr="005D06B0" w:rsidRDefault="005359B8" w:rsidP="005D06B0">
      <w:pPr>
        <w:pStyle w:val="Default"/>
        <w:jc w:val="both"/>
        <w:rPr>
          <w:rFonts w:asciiTheme="minorHAnsi" w:hAnsiTheme="minorHAnsi" w:cstheme="minorHAnsi"/>
        </w:rPr>
      </w:pPr>
    </w:p>
    <w:p w14:paraId="74450B2A" w14:textId="25C7C2E0" w:rsidR="005359B8" w:rsidRPr="005D06B0" w:rsidRDefault="005359B8" w:rsidP="005D06B0">
      <w:pPr>
        <w:pStyle w:val="Default"/>
        <w:numPr>
          <w:ilvl w:val="0"/>
          <w:numId w:val="28"/>
        </w:numPr>
        <w:jc w:val="both"/>
        <w:rPr>
          <w:rFonts w:asciiTheme="minorHAnsi" w:hAnsiTheme="minorHAnsi" w:cstheme="minorHAnsi"/>
        </w:rPr>
      </w:pPr>
      <w:r w:rsidRPr="005D06B0">
        <w:rPr>
          <w:rFonts w:asciiTheme="minorHAnsi" w:hAnsiTheme="minorHAnsi" w:cstheme="minorHAnsi"/>
        </w:rPr>
        <w:t xml:space="preserve">Whilst the consultant may have teaching responsibilities in relation to other professional groups, it is recognised that she / he has particular responsibilities towards trainees in general psychiatry and other junior medical staff. The other professional groups may include medical students; general medical practitioners; nurses; allied health professionals. Wherever possible, there should be close contact with appropriate university departments </w:t>
      </w:r>
    </w:p>
    <w:p w14:paraId="2A5890E6" w14:textId="77777777" w:rsidR="005D06B0" w:rsidRDefault="005D06B0" w:rsidP="005359B8">
      <w:pPr>
        <w:pStyle w:val="Default"/>
        <w:rPr>
          <w:rFonts w:cstheme="minorBidi"/>
          <w:color w:val="auto"/>
          <w:sz w:val="20"/>
          <w:szCs w:val="20"/>
        </w:rPr>
      </w:pPr>
    </w:p>
    <w:p w14:paraId="38F12C1A" w14:textId="22BB84EC" w:rsidR="005359B8" w:rsidRPr="005D06B0" w:rsidRDefault="005359B8" w:rsidP="005359B8">
      <w:pPr>
        <w:pStyle w:val="Default"/>
        <w:rPr>
          <w:rFonts w:asciiTheme="minorHAnsi" w:hAnsiTheme="minorHAnsi" w:cstheme="minorHAnsi"/>
          <w:b/>
          <w:bCs/>
          <w:color w:val="auto"/>
        </w:rPr>
      </w:pPr>
      <w:r w:rsidRPr="005D06B0">
        <w:rPr>
          <w:rFonts w:asciiTheme="minorHAnsi" w:hAnsiTheme="minorHAnsi" w:cstheme="minorHAnsi"/>
          <w:b/>
          <w:bCs/>
          <w:color w:val="auto"/>
        </w:rPr>
        <w:t xml:space="preserve">Continuing education </w:t>
      </w:r>
    </w:p>
    <w:p w14:paraId="1735BDE9" w14:textId="77777777" w:rsidR="005359B8" w:rsidRPr="005D06B0" w:rsidRDefault="005359B8" w:rsidP="005359B8">
      <w:pPr>
        <w:pStyle w:val="Default"/>
        <w:rPr>
          <w:rFonts w:asciiTheme="minorHAnsi" w:hAnsiTheme="minorHAnsi" w:cstheme="minorHAnsi"/>
          <w:color w:val="auto"/>
        </w:rPr>
      </w:pPr>
    </w:p>
    <w:p w14:paraId="6D260D04" w14:textId="77777777" w:rsidR="005D06B0" w:rsidRPr="005D06B0" w:rsidRDefault="005359B8" w:rsidP="005359B8">
      <w:pPr>
        <w:pStyle w:val="Default"/>
        <w:numPr>
          <w:ilvl w:val="0"/>
          <w:numId w:val="28"/>
        </w:numPr>
        <w:spacing w:after="21"/>
        <w:rPr>
          <w:rFonts w:asciiTheme="minorHAnsi" w:hAnsiTheme="minorHAnsi" w:cstheme="minorHAnsi"/>
          <w:color w:val="auto"/>
        </w:rPr>
      </w:pPr>
      <w:r w:rsidRPr="005D06B0">
        <w:rPr>
          <w:rFonts w:asciiTheme="minorHAnsi" w:hAnsiTheme="minorHAnsi" w:cstheme="minorHAnsi"/>
          <w:color w:val="auto"/>
        </w:rPr>
        <w:t xml:space="preserve">Time for attendance at professional meetings (both internal and external) and conferences should be a matter of contractual obligation. The consultant psychiatrist is expected to adhere to RANZCP continuing education requirements </w:t>
      </w:r>
    </w:p>
    <w:p w14:paraId="3F608F01" w14:textId="77777777" w:rsidR="005D06B0" w:rsidRPr="005D06B0" w:rsidRDefault="005359B8" w:rsidP="005359B8">
      <w:pPr>
        <w:pStyle w:val="Default"/>
        <w:numPr>
          <w:ilvl w:val="0"/>
          <w:numId w:val="28"/>
        </w:numPr>
        <w:spacing w:after="21"/>
        <w:rPr>
          <w:rFonts w:asciiTheme="minorHAnsi" w:hAnsiTheme="minorHAnsi" w:cstheme="minorHAnsi"/>
          <w:color w:val="auto"/>
        </w:rPr>
      </w:pPr>
      <w:r w:rsidRPr="005D06B0">
        <w:rPr>
          <w:rFonts w:asciiTheme="minorHAnsi" w:hAnsiTheme="minorHAnsi" w:cstheme="minorHAnsi"/>
          <w:color w:val="auto"/>
        </w:rPr>
        <w:t xml:space="preserve">The consultant psychiatrist has a responsibility to help to develop the scientific basis of the specialty and also to contribute to the continuing evaluation of clinical practice across all disciplines </w:t>
      </w:r>
    </w:p>
    <w:p w14:paraId="7F2A0648" w14:textId="33C24868" w:rsidR="005359B8" w:rsidRPr="005D06B0" w:rsidRDefault="005359B8" w:rsidP="005359B8">
      <w:pPr>
        <w:pStyle w:val="Default"/>
        <w:numPr>
          <w:ilvl w:val="0"/>
          <w:numId w:val="28"/>
        </w:numPr>
        <w:spacing w:after="21"/>
        <w:rPr>
          <w:rFonts w:asciiTheme="minorHAnsi" w:hAnsiTheme="minorHAnsi" w:cstheme="minorHAnsi"/>
          <w:color w:val="auto"/>
        </w:rPr>
      </w:pPr>
      <w:r w:rsidRPr="005D06B0">
        <w:rPr>
          <w:rFonts w:asciiTheme="minorHAnsi" w:hAnsiTheme="minorHAnsi" w:cstheme="minorHAnsi"/>
          <w:color w:val="auto"/>
        </w:rPr>
        <w:t xml:space="preserve">The Consultant Psychiatrist is reportable to the Clinical Director Mental Health Services. There will be an annual performance appraisal via the Performance Improvement Process </w:t>
      </w:r>
    </w:p>
    <w:p w14:paraId="05EA2908" w14:textId="1419DE02" w:rsidR="000D79BC" w:rsidRDefault="000D79BC" w:rsidP="000D79BC">
      <w:pPr>
        <w:pStyle w:val="LRHNormal"/>
      </w:pPr>
    </w:p>
    <w:p w14:paraId="4853B37A" w14:textId="77777777" w:rsidR="005D06B0" w:rsidRDefault="000D79BC" w:rsidP="005D06B0">
      <w:pPr>
        <w:pStyle w:val="LRHNormal"/>
        <w:rPr>
          <w:b/>
          <w:bCs/>
        </w:rPr>
      </w:pPr>
      <w:r w:rsidRPr="00C86F4A">
        <w:rPr>
          <w:b/>
          <w:bCs/>
        </w:rPr>
        <w:t>Leadership</w:t>
      </w:r>
    </w:p>
    <w:p w14:paraId="6AA66F40" w14:textId="77777777" w:rsidR="005D06B0" w:rsidRDefault="000D79BC" w:rsidP="005D06B0">
      <w:pPr>
        <w:pStyle w:val="LRHNormal"/>
        <w:numPr>
          <w:ilvl w:val="0"/>
          <w:numId w:val="30"/>
        </w:numPr>
        <w:spacing w:before="0" w:after="0"/>
      </w:pPr>
      <w:r w:rsidRPr="00C86F4A">
        <w:t>Supporting the safety and wellbeing of staff</w:t>
      </w:r>
    </w:p>
    <w:p w14:paraId="770C28AD" w14:textId="1FB22084" w:rsidR="000D79BC" w:rsidRDefault="000D79BC" w:rsidP="005C3B26">
      <w:pPr>
        <w:pStyle w:val="LRHNormal"/>
        <w:numPr>
          <w:ilvl w:val="0"/>
          <w:numId w:val="30"/>
        </w:numPr>
        <w:spacing w:before="0" w:after="0"/>
      </w:pPr>
      <w:r w:rsidRPr="00C86F4A">
        <w:t>Represent the best interests of LRH and the community we serve, and embodiment of the LRH values</w:t>
      </w:r>
    </w:p>
    <w:p w14:paraId="0F962852" w14:textId="77777777" w:rsidR="005D06B0" w:rsidRDefault="005D06B0" w:rsidP="005D06B0">
      <w:pPr>
        <w:pStyle w:val="LRHNormal"/>
        <w:spacing w:before="0" w:after="0"/>
        <w:ind w:left="720"/>
      </w:pPr>
    </w:p>
    <w:p w14:paraId="06FE0E51" w14:textId="77777777" w:rsidR="000D79BC" w:rsidRPr="00C86F4A" w:rsidRDefault="000D79BC" w:rsidP="000D79BC">
      <w:pPr>
        <w:pStyle w:val="LRHNormal"/>
        <w:rPr>
          <w:b/>
          <w:bCs/>
        </w:rPr>
      </w:pPr>
      <w:r w:rsidRPr="00C86F4A">
        <w:rPr>
          <w:b/>
          <w:bCs/>
        </w:rPr>
        <w:t>Professional Commitments</w:t>
      </w:r>
    </w:p>
    <w:p w14:paraId="5B77E389" w14:textId="77777777" w:rsidR="000D79BC" w:rsidRPr="00C86F4A" w:rsidRDefault="000D79BC" w:rsidP="000D79BC">
      <w:pPr>
        <w:pStyle w:val="LRHNormal"/>
        <w:numPr>
          <w:ilvl w:val="0"/>
          <w:numId w:val="20"/>
        </w:numPr>
        <w:spacing w:before="0" w:after="0"/>
        <w:ind w:left="714" w:hanging="357"/>
      </w:pPr>
      <w:r w:rsidRPr="00C86F4A">
        <w:t>Commitment to uphold the vision, values and strategic pillars of LRH, integrating it into daily practice</w:t>
      </w:r>
    </w:p>
    <w:p w14:paraId="2160DBC2" w14:textId="77777777" w:rsidR="000D79BC" w:rsidRPr="00C86F4A" w:rsidRDefault="000D79BC" w:rsidP="000D79BC">
      <w:pPr>
        <w:pStyle w:val="LRHNormal"/>
        <w:numPr>
          <w:ilvl w:val="0"/>
          <w:numId w:val="20"/>
        </w:numPr>
        <w:spacing w:before="0" w:after="0"/>
        <w:ind w:left="714" w:hanging="357"/>
      </w:pPr>
      <w:r w:rsidRPr="00C86F4A">
        <w:t>Commitment to all LRH policies and procedures, as implemented, varied or replaced from time to time</w:t>
      </w:r>
    </w:p>
    <w:p w14:paraId="1BDB64EA" w14:textId="77777777" w:rsidR="000D79BC" w:rsidRPr="00C86F4A" w:rsidRDefault="000D79BC" w:rsidP="000D79BC">
      <w:pPr>
        <w:pStyle w:val="LRHNormal"/>
        <w:numPr>
          <w:ilvl w:val="0"/>
          <w:numId w:val="20"/>
        </w:numPr>
        <w:spacing w:before="0" w:after="0"/>
        <w:ind w:left="714" w:hanging="357"/>
      </w:pPr>
      <w:r w:rsidRPr="00C86F4A">
        <w:t>Commitment to all relevant legislative requirements and national standards</w:t>
      </w:r>
    </w:p>
    <w:p w14:paraId="4ABB2AC4" w14:textId="77777777" w:rsidR="000D79BC" w:rsidRPr="00C86F4A" w:rsidRDefault="000D79BC" w:rsidP="000D79BC">
      <w:pPr>
        <w:pStyle w:val="LRHNormal"/>
        <w:numPr>
          <w:ilvl w:val="0"/>
          <w:numId w:val="20"/>
        </w:numPr>
        <w:spacing w:before="0" w:after="0"/>
        <w:ind w:left="714" w:hanging="357"/>
      </w:pPr>
      <w:r w:rsidRPr="00C86F4A">
        <w:t>Commitment to Occupational Health and Safety regulations and requirements</w:t>
      </w:r>
    </w:p>
    <w:p w14:paraId="09647F2B" w14:textId="77777777" w:rsidR="000D79BC" w:rsidRDefault="000D79BC" w:rsidP="000D79BC">
      <w:pPr>
        <w:pStyle w:val="LRHNormal"/>
        <w:numPr>
          <w:ilvl w:val="0"/>
          <w:numId w:val="20"/>
        </w:numPr>
        <w:spacing w:before="0" w:after="0"/>
        <w:ind w:left="714" w:hanging="357"/>
      </w:pPr>
      <w:r w:rsidRPr="00C86F4A">
        <w:t xml:space="preserve">Safety is everyone’s responsibility, so individuals at LRH are responsible </w:t>
      </w:r>
      <w:r>
        <w:t>for</w:t>
      </w:r>
      <w:r w:rsidRPr="00C86F4A">
        <w:t xml:space="preserve"> tak</w:t>
      </w:r>
      <w:r>
        <w:t>ing</w:t>
      </w:r>
      <w:r w:rsidRPr="00C86F4A">
        <w:t xml:space="preserve"> reasonable steps to ensure their own and others safety.</w:t>
      </w:r>
    </w:p>
    <w:p w14:paraId="6F6F3F8D" w14:textId="77777777" w:rsidR="000D79BC" w:rsidRPr="00C86F4A" w:rsidRDefault="000D79BC" w:rsidP="000D79BC">
      <w:pPr>
        <w:pStyle w:val="LRHNormal"/>
        <w:numPr>
          <w:ilvl w:val="0"/>
          <w:numId w:val="20"/>
        </w:numPr>
        <w:spacing w:before="0" w:after="0"/>
        <w:ind w:left="714" w:hanging="357"/>
      </w:pPr>
      <w:r>
        <w:t>E</w:t>
      </w:r>
      <w:r w:rsidRPr="00D209F8">
        <w:t xml:space="preserve">veryone </w:t>
      </w:r>
      <w:r>
        <w:t xml:space="preserve">at LRH </w:t>
      </w:r>
      <w:r w:rsidRPr="00D209F8">
        <w:t>has a role</w:t>
      </w:r>
      <w:r>
        <w:t xml:space="preserve"> to play in developing a positive risk culture. </w:t>
      </w:r>
      <w:r w:rsidRPr="00D209F8">
        <w:t xml:space="preserve"> You are encouraged to identify opportunities for improvement and </w:t>
      </w:r>
      <w:r>
        <w:t xml:space="preserve">assist LRH to </w:t>
      </w:r>
      <w:r w:rsidRPr="00D209F8">
        <w:t xml:space="preserve">achieve its risk objectives </w:t>
      </w:r>
      <w:r>
        <w:t>within the scope of your role.</w:t>
      </w:r>
    </w:p>
    <w:p w14:paraId="19E60780" w14:textId="77777777" w:rsidR="000D79BC" w:rsidRPr="00C86F4A" w:rsidRDefault="000D79BC" w:rsidP="000D79BC">
      <w:pPr>
        <w:pStyle w:val="LRHNormal"/>
        <w:numPr>
          <w:ilvl w:val="0"/>
          <w:numId w:val="20"/>
        </w:numPr>
        <w:spacing w:before="0" w:after="0"/>
        <w:ind w:left="714" w:hanging="357"/>
      </w:pPr>
      <w:r w:rsidRPr="00C86F4A">
        <w:t>Contribute and adhere to the requirements of the National Safety and Quality Health Service Standards (NSQHS)</w:t>
      </w:r>
    </w:p>
    <w:p w14:paraId="28BA75F8" w14:textId="77777777" w:rsidR="000D79BC" w:rsidRPr="00C86F4A" w:rsidRDefault="000D79BC" w:rsidP="000D79BC">
      <w:pPr>
        <w:pStyle w:val="LRHNormal"/>
        <w:numPr>
          <w:ilvl w:val="0"/>
          <w:numId w:val="20"/>
        </w:numPr>
        <w:spacing w:before="0" w:after="0"/>
        <w:ind w:left="714" w:hanging="357"/>
      </w:pPr>
      <w:r w:rsidRPr="00C86F4A">
        <w:t>Maintain required immunisations and vaccinations in line with LRH requirements</w:t>
      </w:r>
    </w:p>
    <w:p w14:paraId="144C74FA" w14:textId="77777777" w:rsidR="000D79BC" w:rsidRPr="00C86F4A" w:rsidRDefault="000D79BC" w:rsidP="000D79BC">
      <w:pPr>
        <w:pStyle w:val="LRHNormal"/>
        <w:numPr>
          <w:ilvl w:val="0"/>
          <w:numId w:val="20"/>
        </w:numPr>
        <w:spacing w:before="0" w:after="0"/>
        <w:ind w:left="714" w:hanging="357"/>
      </w:pPr>
      <w:r w:rsidRPr="00C86F4A">
        <w:t>Complete all LRH mandatory professional development and training requirements, including annual performance appraisal</w:t>
      </w:r>
    </w:p>
    <w:p w14:paraId="5430520B" w14:textId="77777777" w:rsidR="000D79BC" w:rsidRPr="00C86F4A" w:rsidRDefault="000D79BC" w:rsidP="000D79BC">
      <w:pPr>
        <w:pStyle w:val="LRHNormal"/>
        <w:numPr>
          <w:ilvl w:val="0"/>
          <w:numId w:val="20"/>
        </w:numPr>
        <w:spacing w:before="0" w:after="0"/>
        <w:ind w:left="714" w:hanging="357"/>
      </w:pPr>
      <w:r w:rsidRPr="00C86F4A">
        <w:t>Observe and actively encourage continuous improvement initiatives, cultural awareness, diversity and inclusiveness</w:t>
      </w:r>
    </w:p>
    <w:p w14:paraId="5CC844D0" w14:textId="77777777" w:rsidR="000D79BC" w:rsidRDefault="000D79BC" w:rsidP="000D79BC">
      <w:pPr>
        <w:pStyle w:val="LRHNormal"/>
        <w:numPr>
          <w:ilvl w:val="0"/>
          <w:numId w:val="20"/>
        </w:numPr>
        <w:spacing w:before="0" w:after="0"/>
        <w:ind w:left="714" w:hanging="357"/>
      </w:pPr>
      <w:r w:rsidRPr="00C86F4A">
        <w:t xml:space="preserve">Support the delivery of high quality and safe patient care </w:t>
      </w:r>
    </w:p>
    <w:p w14:paraId="5E5C2B75" w14:textId="66F8720D" w:rsidR="000D79BC" w:rsidRPr="000D79BC" w:rsidRDefault="000D79BC" w:rsidP="000D79BC">
      <w:pPr>
        <w:pStyle w:val="LRHNormal"/>
        <w:numPr>
          <w:ilvl w:val="0"/>
          <w:numId w:val="20"/>
        </w:numPr>
        <w:spacing w:before="0" w:after="0"/>
        <w:ind w:left="714" w:hanging="357"/>
        <w:rPr>
          <w:rFonts w:asciiTheme="minorHAnsi" w:hAnsiTheme="minorHAnsi" w:cstheme="minorHAnsi"/>
        </w:rPr>
      </w:pPr>
      <w:r w:rsidRPr="00C86F4A">
        <w:t>Undertake other duties required as directed by your supervisor or management, provided these are within your competency or training</w:t>
      </w:r>
    </w:p>
    <w:p w14:paraId="643C55E1" w14:textId="1EA1F882" w:rsidR="000D79BC" w:rsidRDefault="000D79BC" w:rsidP="000D79BC">
      <w:pPr>
        <w:pStyle w:val="LRHNormal"/>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gridCol w:w="6"/>
      </w:tblGrid>
      <w:tr w:rsidR="000D79BC" w:rsidRPr="00C86F4A" w14:paraId="3EFA01BD" w14:textId="77777777" w:rsidTr="000D79BC">
        <w:trPr>
          <w:gridAfter w:val="1"/>
          <w:wAfter w:w="6" w:type="dxa"/>
          <w:trHeight w:val="737"/>
        </w:trPr>
        <w:tc>
          <w:tcPr>
            <w:tcW w:w="9016" w:type="dxa"/>
            <w:gridSpan w:val="2"/>
            <w:tcBorders>
              <w:bottom w:val="single" w:sz="2" w:space="0" w:color="044B3D"/>
            </w:tcBorders>
            <w:vAlign w:val="center"/>
          </w:tcPr>
          <w:p w14:paraId="2A3B4605" w14:textId="77777777" w:rsidR="000D79BC" w:rsidRPr="00C86F4A" w:rsidRDefault="000D79BC" w:rsidP="003A1B75">
            <w:pPr>
              <w:pStyle w:val="LRHNormal"/>
              <w:rPr>
                <w:b/>
                <w:bCs/>
              </w:rPr>
            </w:pPr>
            <w:r w:rsidRPr="00C86F4A">
              <w:rPr>
                <w:b/>
                <w:bCs/>
              </w:rPr>
              <w:t>ABOUT YOU</w:t>
            </w:r>
          </w:p>
        </w:tc>
      </w:tr>
      <w:tr w:rsidR="000D79BC" w:rsidRPr="00C86F4A" w14:paraId="10236148" w14:textId="77777777" w:rsidTr="000D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86" w:type="dxa"/>
          <w:trHeight w:val="567"/>
        </w:trPr>
        <w:tc>
          <w:tcPr>
            <w:tcW w:w="4531" w:type="dxa"/>
            <w:tcBorders>
              <w:top w:val="nil"/>
              <w:left w:val="nil"/>
              <w:bottom w:val="nil"/>
              <w:right w:val="nil"/>
            </w:tcBorders>
          </w:tcPr>
          <w:p w14:paraId="14976C53" w14:textId="77777777" w:rsidR="000D79BC" w:rsidRPr="00C86F4A" w:rsidRDefault="000D79BC" w:rsidP="003A1B75">
            <w:pPr>
              <w:pStyle w:val="LRHNormal"/>
              <w:rPr>
                <w:b/>
                <w:bCs/>
                <w:highlight w:val="yellow"/>
              </w:rPr>
            </w:pPr>
            <w:r w:rsidRPr="00C86F4A">
              <w:rPr>
                <w:b/>
                <w:bCs/>
              </w:rPr>
              <w:t xml:space="preserve">Behaviours\Personal Attributes </w:t>
            </w:r>
          </w:p>
        </w:tc>
      </w:tr>
      <w:tr w:rsidR="000D79BC" w:rsidRPr="00C86F4A" w14:paraId="127BDAB0" w14:textId="77777777" w:rsidTr="000D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4531" w:type="dxa"/>
            <w:tcBorders>
              <w:top w:val="nil"/>
              <w:left w:val="nil"/>
              <w:bottom w:val="nil"/>
              <w:right w:val="nil"/>
            </w:tcBorders>
          </w:tcPr>
          <w:p w14:paraId="3857B251" w14:textId="77777777" w:rsidR="000D79BC" w:rsidRPr="00C86F4A" w:rsidRDefault="000D79BC" w:rsidP="003A1B75">
            <w:pPr>
              <w:pStyle w:val="LRHNormal"/>
              <w:numPr>
                <w:ilvl w:val="0"/>
                <w:numId w:val="22"/>
              </w:numPr>
            </w:pPr>
            <w:r w:rsidRPr="00C86F4A">
              <w:t>Integrity</w:t>
            </w:r>
          </w:p>
          <w:p w14:paraId="176098E2" w14:textId="77777777" w:rsidR="000D79BC" w:rsidRPr="00C86F4A" w:rsidRDefault="000D79BC" w:rsidP="003A1B75">
            <w:pPr>
              <w:pStyle w:val="LRHNormal"/>
              <w:numPr>
                <w:ilvl w:val="0"/>
                <w:numId w:val="22"/>
              </w:numPr>
            </w:pPr>
            <w:r w:rsidRPr="00C86F4A">
              <w:t xml:space="preserve">Communication </w:t>
            </w:r>
          </w:p>
          <w:p w14:paraId="6FD5C634" w14:textId="77777777" w:rsidR="000D79BC" w:rsidRPr="00C86F4A" w:rsidRDefault="000D79BC" w:rsidP="003A1B75">
            <w:pPr>
              <w:pStyle w:val="LRHNormal"/>
              <w:numPr>
                <w:ilvl w:val="0"/>
                <w:numId w:val="22"/>
              </w:numPr>
            </w:pPr>
            <w:r w:rsidRPr="00C86F4A">
              <w:t>Team work &amp; collaboration</w:t>
            </w:r>
          </w:p>
        </w:tc>
        <w:tc>
          <w:tcPr>
            <w:tcW w:w="4486" w:type="dxa"/>
            <w:gridSpan w:val="2"/>
            <w:tcBorders>
              <w:top w:val="nil"/>
              <w:left w:val="nil"/>
              <w:bottom w:val="nil"/>
              <w:right w:val="nil"/>
            </w:tcBorders>
          </w:tcPr>
          <w:p w14:paraId="7721AA41" w14:textId="77777777" w:rsidR="000D79BC" w:rsidRPr="00C86F4A" w:rsidRDefault="000D79BC" w:rsidP="003A1B75">
            <w:pPr>
              <w:pStyle w:val="LRHNormal"/>
              <w:numPr>
                <w:ilvl w:val="0"/>
                <w:numId w:val="22"/>
              </w:numPr>
            </w:pPr>
            <w:r w:rsidRPr="00C86F4A">
              <w:t>Adaptability</w:t>
            </w:r>
          </w:p>
          <w:p w14:paraId="618D7912" w14:textId="77777777" w:rsidR="000D79BC" w:rsidRPr="00C86F4A" w:rsidRDefault="000D79BC" w:rsidP="003A1B75">
            <w:pPr>
              <w:pStyle w:val="LRHNormal"/>
              <w:numPr>
                <w:ilvl w:val="0"/>
                <w:numId w:val="22"/>
              </w:numPr>
            </w:pPr>
            <w:r w:rsidRPr="00C86F4A">
              <w:t>Compassion &amp; Empathy</w:t>
            </w:r>
          </w:p>
          <w:p w14:paraId="0B6A9251" w14:textId="77777777" w:rsidR="000D79BC" w:rsidRPr="00C86F4A" w:rsidRDefault="000D79BC" w:rsidP="003A1B75">
            <w:pPr>
              <w:pStyle w:val="LRHNormal"/>
              <w:numPr>
                <w:ilvl w:val="0"/>
                <w:numId w:val="22"/>
              </w:numPr>
            </w:pPr>
            <w:r w:rsidRPr="00C86F4A">
              <w:t>Respect</w:t>
            </w:r>
          </w:p>
        </w:tc>
      </w:tr>
    </w:tbl>
    <w:p w14:paraId="4957A68C" w14:textId="7D540567" w:rsidR="000D79BC" w:rsidRDefault="000D79BC" w:rsidP="000D79BC">
      <w:pPr>
        <w:pStyle w:val="LRHNormal"/>
        <w:spacing w:before="0" w:after="0"/>
        <w:rPr>
          <w:rFonts w:asciiTheme="minorHAnsi" w:hAnsiTheme="minorHAnsi" w:cstheme="minorHAnsi"/>
        </w:rPr>
      </w:pPr>
    </w:p>
    <w:p w14:paraId="48B896CF" w14:textId="46882708" w:rsidR="00EB226F" w:rsidRDefault="00EB226F">
      <w:pPr>
        <w:rPr>
          <w:rFonts w:ascii="Calibri" w:eastAsiaTheme="majorEastAsia" w:hAnsi="Calibri" w:cstheme="majorBidi"/>
          <w:b/>
          <w:bCs/>
          <w:sz w:val="24"/>
          <w:szCs w:val="32"/>
        </w:rPr>
      </w:pPr>
    </w:p>
    <w:p w14:paraId="73F43860" w14:textId="2C3D5A29" w:rsidR="000D79BC" w:rsidRDefault="000D79BC" w:rsidP="000D79BC">
      <w:pPr>
        <w:pStyle w:val="LRHNormal"/>
        <w:spacing w:before="0" w:after="0"/>
        <w:rPr>
          <w:b/>
          <w:bCs/>
        </w:rPr>
      </w:pPr>
      <w:r>
        <w:rPr>
          <w:b/>
          <w:bCs/>
        </w:rPr>
        <w:lastRenderedPageBreak/>
        <w:t>KEY SELECTION CRITERIA</w:t>
      </w:r>
    </w:p>
    <w:p w14:paraId="3A53F574" w14:textId="4651A4F2" w:rsidR="000D79BC" w:rsidRDefault="000D79BC" w:rsidP="000D79BC">
      <w:pPr>
        <w:pStyle w:val="LRHNormal"/>
        <w:spacing w:before="0" w:after="0"/>
        <w:rPr>
          <w:b/>
          <w:bCs/>
        </w:rPr>
      </w:pPr>
    </w:p>
    <w:p w14:paraId="4531AFA8" w14:textId="58FB4C67" w:rsidR="000D79BC" w:rsidRDefault="000D79BC" w:rsidP="000D79BC">
      <w:pPr>
        <w:pStyle w:val="LRHNormal"/>
        <w:spacing w:before="0" w:after="0"/>
        <w:rPr>
          <w:b/>
          <w:bCs/>
        </w:rPr>
      </w:pPr>
      <w:r w:rsidRPr="00C86F4A">
        <w:rPr>
          <w:b/>
          <w:bCs/>
        </w:rPr>
        <w:t>Qualifications\Registrations</w:t>
      </w:r>
    </w:p>
    <w:p w14:paraId="54B439D8" w14:textId="72A82F0D" w:rsidR="000D79BC" w:rsidRPr="00E54F37" w:rsidRDefault="00E54F37" w:rsidP="00E54F37">
      <w:pPr>
        <w:pStyle w:val="LRHNormal"/>
        <w:numPr>
          <w:ilvl w:val="0"/>
          <w:numId w:val="23"/>
        </w:numPr>
        <w:spacing w:before="0" w:after="0"/>
      </w:pPr>
      <w:r w:rsidRPr="00E54F37">
        <w:t>Fellowship of the Royal Australian and New Zealand College of Psychiatrists (RANZCP) or equivalent</w:t>
      </w:r>
    </w:p>
    <w:p w14:paraId="211C08CF" w14:textId="3093833D" w:rsidR="000D79BC" w:rsidRPr="00E54F37" w:rsidRDefault="00E54F37" w:rsidP="00E54F37">
      <w:pPr>
        <w:pStyle w:val="LRHNormal"/>
        <w:numPr>
          <w:ilvl w:val="0"/>
          <w:numId w:val="23"/>
        </w:numPr>
        <w:spacing w:before="0" w:after="0"/>
      </w:pPr>
      <w:proofErr w:type="spellStart"/>
      <w:r w:rsidRPr="00E54F37">
        <w:t>Registrartion</w:t>
      </w:r>
      <w:proofErr w:type="spellEnd"/>
      <w:r w:rsidRPr="00E54F37">
        <w:t xml:space="preserve"> with Australian Health Practitioner Regulation Agency (AHPRA)</w:t>
      </w:r>
    </w:p>
    <w:p w14:paraId="466AFE50" w14:textId="77777777" w:rsidR="00EB226F" w:rsidRDefault="00EB226F" w:rsidP="000D79BC">
      <w:pPr>
        <w:pStyle w:val="LRHNormal"/>
        <w:spacing w:before="0" w:after="0"/>
        <w:rPr>
          <w:b/>
          <w:bCs/>
        </w:rPr>
      </w:pPr>
    </w:p>
    <w:p w14:paraId="30A6122D" w14:textId="6C7E5AB7" w:rsidR="000D79BC" w:rsidRDefault="000D79BC" w:rsidP="000D79BC">
      <w:pPr>
        <w:pStyle w:val="LRHNormal"/>
        <w:spacing w:before="0" w:after="0"/>
        <w:rPr>
          <w:b/>
          <w:bCs/>
        </w:rPr>
      </w:pPr>
      <w:r w:rsidRPr="00C86F4A">
        <w:rPr>
          <w:b/>
          <w:bCs/>
        </w:rPr>
        <w:t>Experience\Knowledge</w:t>
      </w:r>
    </w:p>
    <w:p w14:paraId="7B5F3C13" w14:textId="710E842D" w:rsidR="00E54F37" w:rsidRPr="00E54F37" w:rsidRDefault="00E54F37" w:rsidP="00E54F37">
      <w:pPr>
        <w:pStyle w:val="LRHNormal"/>
        <w:numPr>
          <w:ilvl w:val="0"/>
          <w:numId w:val="23"/>
        </w:numPr>
        <w:spacing w:before="0" w:after="0"/>
        <w:rPr>
          <w:rFonts w:cs="Calibri"/>
          <w:szCs w:val="24"/>
        </w:rPr>
      </w:pPr>
      <w:r w:rsidRPr="00E54F37">
        <w:rPr>
          <w:rFonts w:cs="Calibri"/>
          <w:szCs w:val="24"/>
        </w:rPr>
        <w:t>Demonstrated experience as a consultant psychiatrist with proven ability to work with their team to meet strategic, operational objectives</w:t>
      </w:r>
    </w:p>
    <w:p w14:paraId="0603D24B" w14:textId="77777777" w:rsidR="00E54F37" w:rsidRPr="00E54F37" w:rsidRDefault="00E54F37" w:rsidP="00E54F37">
      <w:pPr>
        <w:pStyle w:val="Default"/>
        <w:numPr>
          <w:ilvl w:val="0"/>
          <w:numId w:val="23"/>
        </w:numPr>
        <w:rPr>
          <w:rFonts w:ascii="Calibri" w:hAnsi="Calibri" w:cs="Calibri"/>
        </w:rPr>
      </w:pPr>
      <w:r w:rsidRPr="00E54F37">
        <w:rPr>
          <w:rFonts w:ascii="Calibri" w:hAnsi="Calibri" w:cs="Calibri"/>
        </w:rPr>
        <w:t xml:space="preserve">Proven ability to plan, develop, deliver and evaluate services and programs to meet the needs of clients and families </w:t>
      </w:r>
    </w:p>
    <w:p w14:paraId="779667C3" w14:textId="77777777" w:rsidR="00E54F37" w:rsidRPr="002C2895" w:rsidRDefault="00E54F37" w:rsidP="00E54F37">
      <w:pPr>
        <w:pStyle w:val="NoSpacing"/>
        <w:numPr>
          <w:ilvl w:val="0"/>
          <w:numId w:val="23"/>
        </w:numPr>
        <w:rPr>
          <w:sz w:val="24"/>
          <w:szCs w:val="24"/>
        </w:rPr>
      </w:pPr>
      <w:r w:rsidRPr="002C2895">
        <w:rPr>
          <w:sz w:val="24"/>
          <w:szCs w:val="24"/>
        </w:rPr>
        <w:t>Strong collaborative communication skills and ability to build productive multidisciplinary relationships</w:t>
      </w:r>
    </w:p>
    <w:p w14:paraId="60178C70" w14:textId="77777777" w:rsidR="00E54F37" w:rsidRPr="002C2895" w:rsidRDefault="00E54F37" w:rsidP="00E54F37">
      <w:pPr>
        <w:pStyle w:val="NoSpacing"/>
        <w:numPr>
          <w:ilvl w:val="0"/>
          <w:numId w:val="23"/>
        </w:numPr>
        <w:rPr>
          <w:sz w:val="24"/>
          <w:szCs w:val="24"/>
        </w:rPr>
      </w:pPr>
      <w:r w:rsidRPr="002C2895">
        <w:rPr>
          <w:sz w:val="24"/>
          <w:szCs w:val="24"/>
        </w:rPr>
        <w:t>Excellent interpersonal skills</w:t>
      </w:r>
    </w:p>
    <w:p w14:paraId="3B304A36" w14:textId="4A564504" w:rsidR="000D79BC" w:rsidRDefault="000D79BC" w:rsidP="000D79BC">
      <w:pPr>
        <w:pStyle w:val="LRHNormal"/>
        <w:spacing w:before="0" w:after="0"/>
        <w:rPr>
          <w:rFonts w:asciiTheme="minorHAnsi" w:hAnsiTheme="minorHAnsi" w:cstheme="minorHAnsi"/>
        </w:rPr>
      </w:pPr>
    </w:p>
    <w:p w14:paraId="6AA286D6" w14:textId="60A81008" w:rsidR="000D79BC" w:rsidRPr="00FD5F6D" w:rsidRDefault="000D79BC" w:rsidP="000D79BC">
      <w:pPr>
        <w:pStyle w:val="LRHNormal"/>
        <w:spacing w:before="0" w:after="0"/>
        <w:rPr>
          <w:rFonts w:asciiTheme="minorHAnsi" w:hAnsiTheme="minorHAnsi" w:cstheme="minorHAnsi"/>
        </w:rPr>
      </w:pPr>
      <w:r w:rsidRPr="00C86F4A">
        <w:rPr>
          <w:i/>
          <w:iCs/>
        </w:rPr>
        <w:t>LRH</w:t>
      </w:r>
      <w:r w:rsidRPr="00C86F4A">
        <w:t xml:space="preserve"> </w:t>
      </w:r>
      <w:r w:rsidRPr="00C86F4A">
        <w:rPr>
          <w:i/>
          <w:iCs/>
        </w:rPr>
        <w:t>will assess applications for this role against the qualifications, experience and attributes outlined above</w:t>
      </w:r>
      <w:r>
        <w:rPr>
          <w:i/>
          <w:iCs/>
        </w:rPr>
        <w:t>.</w:t>
      </w:r>
    </w:p>
    <w:bookmarkEnd w:id="0"/>
    <w:sectPr w:rsidR="000D79BC" w:rsidRPr="00FD5F6D" w:rsidSect="005636D0">
      <w:headerReference w:type="default" r:id="rId9"/>
      <w:footerReference w:type="default" r:id="rId10"/>
      <w:pgSz w:w="11906" w:h="16838"/>
      <w:pgMar w:top="1701"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7D21" w14:textId="77777777" w:rsidR="003821E0" w:rsidRDefault="003821E0" w:rsidP="003821E0">
      <w:pPr>
        <w:spacing w:after="0" w:line="240" w:lineRule="auto"/>
      </w:pPr>
      <w:r>
        <w:separator/>
      </w:r>
    </w:p>
  </w:endnote>
  <w:endnote w:type="continuationSeparator" w:id="0">
    <w:p w14:paraId="3AE69EEE" w14:textId="77777777" w:rsidR="003821E0" w:rsidRDefault="003821E0" w:rsidP="003821E0">
      <w:pPr>
        <w:spacing w:after="0" w:line="240" w:lineRule="auto"/>
      </w:pPr>
      <w:r>
        <w:continuationSeparator/>
      </w:r>
    </w:p>
  </w:endnote>
  <w:endnote w:type="continuationNotice" w:id="1">
    <w:p w14:paraId="4093770C" w14:textId="77777777" w:rsidR="00263235" w:rsidRDefault="00263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862F" w14:textId="7EA9B926" w:rsidR="003821E0" w:rsidRDefault="00780A44">
    <w:pPr>
      <w:pStyle w:val="Footer"/>
    </w:pPr>
    <w:r>
      <w:rPr>
        <w:noProof/>
      </w:rPr>
      <mc:AlternateContent>
        <mc:Choice Requires="wps">
          <w:drawing>
            <wp:anchor distT="0" distB="0" distL="114300" distR="114300" simplePos="0" relativeHeight="251668480" behindDoc="0" locked="0" layoutInCell="1" allowOverlap="1" wp14:anchorId="5030D8EB" wp14:editId="5D6A0FE4">
              <wp:simplePos x="0" y="0"/>
              <wp:positionH relativeFrom="margin">
                <wp:posOffset>5210175</wp:posOffset>
              </wp:positionH>
              <wp:positionV relativeFrom="paragraph">
                <wp:posOffset>-66675</wp:posOffset>
              </wp:positionV>
              <wp:extent cx="761365" cy="264480"/>
              <wp:effectExtent l="0" t="0" r="635" b="2540"/>
              <wp:wrapNone/>
              <wp:docPr id="7" name="Text Box 7"/>
              <wp:cNvGraphicFramePr/>
              <a:graphic xmlns:a="http://schemas.openxmlformats.org/drawingml/2006/main">
                <a:graphicData uri="http://schemas.microsoft.com/office/word/2010/wordprocessingShape">
                  <wps:wsp>
                    <wps:cNvSpPr txBox="1"/>
                    <wps:spPr>
                      <a:xfrm>
                        <a:off x="0" y="0"/>
                        <a:ext cx="761365" cy="264480"/>
                      </a:xfrm>
                      <a:prstGeom prst="rect">
                        <a:avLst/>
                      </a:prstGeom>
                      <a:solidFill>
                        <a:schemeClr val="lt1"/>
                      </a:solidFill>
                      <a:ln w="6350">
                        <a:noFill/>
                      </a:ln>
                    </wps:spPr>
                    <wps:txbx>
                      <w:txbxContent>
                        <w:p w14:paraId="7A1E7CE1" w14:textId="77777777" w:rsidR="00780A44" w:rsidRPr="003821E0" w:rsidRDefault="00E54F37" w:rsidP="00780A44">
                          <w:pPr>
                            <w:rPr>
                              <w:rFonts w:ascii="Calibri" w:hAnsi="Calibri" w:cs="Calibri"/>
                              <w:sz w:val="20"/>
                              <w:szCs w:val="20"/>
                            </w:rPr>
                          </w:pPr>
                          <w:hyperlink r:id="rId1" w:history="1">
                            <w:r w:rsidR="00780A44" w:rsidRPr="003821E0">
                              <w:rPr>
                                <w:rStyle w:val="Hyperlink"/>
                                <w:rFonts w:ascii="Calibri" w:hAnsi="Calibri" w:cs="Calibri"/>
                                <w:sz w:val="20"/>
                                <w:szCs w:val="20"/>
                              </w:rPr>
                              <w:t>lrh.com.au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0D8EB" id="_x0000_t202" coordsize="21600,21600" o:spt="202" path="m,l,21600r21600,l21600,xe">
              <v:stroke joinstyle="miter"/>
              <v:path gradientshapeok="t" o:connecttype="rect"/>
            </v:shapetype>
            <v:shape id="Text Box 7" o:spid="_x0000_s1027" type="#_x0000_t202" style="position:absolute;margin-left:410.25pt;margin-top:-5.25pt;width:59.95pt;height:20.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" fillcolor="white [3201]" stroked="f" strokeweight=".5pt">
              <v:textbox>
                <w:txbxContent>
                  <w:p w14:paraId="7A1E7CE1" w14:textId="77777777" w:rsidR="00780A44" w:rsidRPr="003821E0" w:rsidRDefault="00E54F37" w:rsidP="00780A44">
                    <w:pPr>
                      <w:rPr>
                        <w:rFonts w:ascii="Calibri" w:hAnsi="Calibri" w:cs="Calibri"/>
                        <w:sz w:val="20"/>
                        <w:szCs w:val="20"/>
                      </w:rPr>
                    </w:pPr>
                    <w:hyperlink r:id="rId2" w:history="1">
                      <w:r w:rsidR="00780A44" w:rsidRPr="003821E0">
                        <w:rPr>
                          <w:rStyle w:val="Hyperlink"/>
                          <w:rFonts w:ascii="Calibri" w:hAnsi="Calibri" w:cs="Calibri"/>
                          <w:sz w:val="20"/>
                          <w:szCs w:val="20"/>
                        </w:rPr>
                        <w:t>lrh.com.au</w:t>
                      </w:r>
                    </w:hyperlink>
                  </w:p>
                </w:txbxContent>
              </v:textbox>
              <w10:wrap anchorx="margin"/>
            </v:shape>
          </w:pict>
        </mc:Fallback>
      </mc:AlternateContent>
    </w:r>
    <w:r w:rsidR="001905BD">
      <w:rPr>
        <w:noProof/>
      </w:rPr>
      <w:drawing>
        <wp:anchor distT="0" distB="0" distL="114300" distR="114300" simplePos="0" relativeHeight="251661312" behindDoc="1" locked="0" layoutInCell="1" allowOverlap="1" wp14:anchorId="6B5D6DF3" wp14:editId="75C08D11">
          <wp:simplePos x="0" y="0"/>
          <wp:positionH relativeFrom="column">
            <wp:posOffset>-171450</wp:posOffset>
          </wp:positionH>
          <wp:positionV relativeFrom="paragraph">
            <wp:posOffset>-172085</wp:posOffset>
          </wp:positionV>
          <wp:extent cx="2282190" cy="29337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282190" cy="2933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9A4F" w14:textId="77777777" w:rsidR="003821E0" w:rsidRDefault="003821E0" w:rsidP="003821E0">
      <w:pPr>
        <w:spacing w:after="0" w:line="240" w:lineRule="auto"/>
      </w:pPr>
      <w:r>
        <w:separator/>
      </w:r>
    </w:p>
  </w:footnote>
  <w:footnote w:type="continuationSeparator" w:id="0">
    <w:p w14:paraId="743C634C" w14:textId="77777777" w:rsidR="003821E0" w:rsidRDefault="003821E0" w:rsidP="003821E0">
      <w:pPr>
        <w:spacing w:after="0" w:line="240" w:lineRule="auto"/>
      </w:pPr>
      <w:r>
        <w:continuationSeparator/>
      </w:r>
    </w:p>
  </w:footnote>
  <w:footnote w:type="continuationNotice" w:id="1">
    <w:p w14:paraId="65B1358A" w14:textId="77777777" w:rsidR="00263235" w:rsidRDefault="002632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CF6C" w14:textId="18B802AC" w:rsidR="003821E0" w:rsidRDefault="00B716A0">
    <w:pPr>
      <w:pStyle w:val="Header"/>
    </w:pPr>
    <w:r>
      <w:rPr>
        <w:noProof/>
      </w:rPr>
      <w:drawing>
        <wp:anchor distT="0" distB="0" distL="114300" distR="114300" simplePos="0" relativeHeight="251666432" behindDoc="1" locked="0" layoutInCell="1" allowOverlap="1" wp14:anchorId="1C408B37" wp14:editId="4F890AA6">
          <wp:simplePos x="0" y="0"/>
          <wp:positionH relativeFrom="column">
            <wp:posOffset>4218940</wp:posOffset>
          </wp:positionH>
          <wp:positionV relativeFrom="paragraph">
            <wp:posOffset>68365</wp:posOffset>
          </wp:positionV>
          <wp:extent cx="1597815" cy="36885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97815" cy="3688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E02"/>
    <w:multiLevelType w:val="hybridMultilevel"/>
    <w:tmpl w:val="22FECDE4"/>
    <w:lvl w:ilvl="0" w:tplc="10A855AC">
      <w:start w:val="1"/>
      <w:numFmt w:val="bullet"/>
      <w:lvlText w:val=""/>
      <w:lvlJc w:val="left"/>
      <w:pPr>
        <w:ind w:left="720" w:hanging="360"/>
      </w:pPr>
      <w:rPr>
        <w:rFonts w:ascii="Symbol" w:hAnsi="Symbol" w:hint="default"/>
        <w:color w:val="044B3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53C6D"/>
    <w:multiLevelType w:val="hybridMultilevel"/>
    <w:tmpl w:val="C862EDBA"/>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B6DA4"/>
    <w:multiLevelType w:val="hybridMultilevel"/>
    <w:tmpl w:val="E5941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9C3AB8"/>
    <w:multiLevelType w:val="hybridMultilevel"/>
    <w:tmpl w:val="C494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30A58"/>
    <w:multiLevelType w:val="hybridMultilevel"/>
    <w:tmpl w:val="D778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6579A"/>
    <w:multiLevelType w:val="hybridMultilevel"/>
    <w:tmpl w:val="DA380DDC"/>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01340"/>
    <w:multiLevelType w:val="hybridMultilevel"/>
    <w:tmpl w:val="7CEE59FC"/>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D1454"/>
    <w:multiLevelType w:val="hybridMultilevel"/>
    <w:tmpl w:val="1410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D39BA"/>
    <w:multiLevelType w:val="hybridMultilevel"/>
    <w:tmpl w:val="87484BEC"/>
    <w:lvl w:ilvl="0" w:tplc="E85EF024">
      <w:numFmt w:val="bullet"/>
      <w:lvlText w:val=""/>
      <w:lvlJc w:val="left"/>
      <w:pPr>
        <w:ind w:left="842" w:hanging="161"/>
      </w:pPr>
      <w:rPr>
        <w:rFonts w:ascii="Symbol" w:eastAsia="Symbol" w:hAnsi="Symbol" w:cs="Symbol" w:hint="default"/>
        <w:b w:val="0"/>
        <w:bCs w:val="0"/>
        <w:i w:val="0"/>
        <w:iCs w:val="0"/>
        <w:w w:val="99"/>
        <w:sz w:val="20"/>
        <w:szCs w:val="20"/>
        <w:lang w:val="en-US"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F2DF4"/>
    <w:multiLevelType w:val="hybridMultilevel"/>
    <w:tmpl w:val="404E51CC"/>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17411"/>
    <w:multiLevelType w:val="hybridMultilevel"/>
    <w:tmpl w:val="FFC83164"/>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A73FC"/>
    <w:multiLevelType w:val="hybridMultilevel"/>
    <w:tmpl w:val="C396D4FC"/>
    <w:lvl w:ilvl="0" w:tplc="10A855AC">
      <w:start w:val="1"/>
      <w:numFmt w:val="bullet"/>
      <w:lvlText w:val=""/>
      <w:lvlJc w:val="left"/>
      <w:pPr>
        <w:ind w:left="720" w:hanging="360"/>
      </w:pPr>
      <w:rPr>
        <w:rFonts w:ascii="Symbol" w:hAnsi="Symbol" w:hint="default"/>
        <w:color w:val="044B3D"/>
      </w:rPr>
    </w:lvl>
    <w:lvl w:ilvl="1" w:tplc="B3D0A0DC">
      <w:start w:val="1"/>
      <w:numFmt w:val="bullet"/>
      <w:lvlText w:val="o"/>
      <w:lvlJc w:val="left"/>
      <w:pPr>
        <w:ind w:left="1440" w:hanging="360"/>
      </w:pPr>
      <w:rPr>
        <w:rFonts w:ascii="Courier New" w:hAnsi="Courier New" w:hint="default"/>
        <w:color w:val="044B3D"/>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981C73"/>
    <w:multiLevelType w:val="hybridMultilevel"/>
    <w:tmpl w:val="42C4ED74"/>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0047F7"/>
    <w:multiLevelType w:val="hybridMultilevel"/>
    <w:tmpl w:val="EDCAF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C0D88"/>
    <w:multiLevelType w:val="hybridMultilevel"/>
    <w:tmpl w:val="9260F392"/>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F7580"/>
    <w:multiLevelType w:val="hybridMultilevel"/>
    <w:tmpl w:val="FF5E5E66"/>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EA4259"/>
    <w:multiLevelType w:val="hybridMultilevel"/>
    <w:tmpl w:val="4C5CF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2D5478"/>
    <w:multiLevelType w:val="hybridMultilevel"/>
    <w:tmpl w:val="A404C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3C0E55"/>
    <w:multiLevelType w:val="hybridMultilevel"/>
    <w:tmpl w:val="3072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D558A"/>
    <w:multiLevelType w:val="hybridMultilevel"/>
    <w:tmpl w:val="89307896"/>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756393"/>
    <w:multiLevelType w:val="hybridMultilevel"/>
    <w:tmpl w:val="B1BCE78C"/>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1834EA"/>
    <w:multiLevelType w:val="hybridMultilevel"/>
    <w:tmpl w:val="8374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66002"/>
    <w:multiLevelType w:val="hybridMultilevel"/>
    <w:tmpl w:val="F30E04F4"/>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5959A5"/>
    <w:multiLevelType w:val="multilevel"/>
    <w:tmpl w:val="C59ED200"/>
    <w:lvl w:ilvl="0">
      <w:start w:val="1"/>
      <w:numFmt w:val="bullet"/>
      <w:lvlText w:val=""/>
      <w:lvlJc w:val="left"/>
      <w:pPr>
        <w:ind w:left="856" w:hanging="428"/>
      </w:pPr>
      <w:rPr>
        <w:rFonts w:ascii="Symbol" w:hAnsi="Symbol" w:hint="default"/>
        <w:w w:val="99"/>
        <w:lang w:val="en-US" w:eastAsia="en-US" w:bidi="ar-SA"/>
      </w:rPr>
    </w:lvl>
    <w:lvl w:ilvl="1">
      <w:start w:val="1"/>
      <w:numFmt w:val="decimal"/>
      <w:lvlText w:val="%1.%2"/>
      <w:lvlJc w:val="left"/>
      <w:pPr>
        <w:ind w:left="1252" w:hanging="396"/>
        <w:jc w:val="right"/>
      </w:pPr>
      <w:rPr>
        <w:rFonts w:hint="default"/>
        <w:w w:val="99"/>
        <w:lang w:val="en-US" w:eastAsia="en-US" w:bidi="ar-SA"/>
      </w:rPr>
    </w:lvl>
    <w:lvl w:ilvl="2">
      <w:numFmt w:val="bullet"/>
      <w:lvlText w:val=""/>
      <w:lvlJc w:val="left"/>
      <w:pPr>
        <w:ind w:left="1641" w:hanging="396"/>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1569" w:hanging="396"/>
      </w:pPr>
      <w:rPr>
        <w:rFonts w:hint="default"/>
        <w:lang w:val="en-US" w:eastAsia="en-US" w:bidi="ar-SA"/>
      </w:rPr>
    </w:lvl>
    <w:lvl w:ilvl="4">
      <w:numFmt w:val="bullet"/>
      <w:lvlText w:val="•"/>
      <w:lvlJc w:val="left"/>
      <w:pPr>
        <w:ind w:left="1649" w:hanging="396"/>
      </w:pPr>
      <w:rPr>
        <w:rFonts w:hint="default"/>
        <w:lang w:val="en-US" w:eastAsia="en-US" w:bidi="ar-SA"/>
      </w:rPr>
    </w:lvl>
    <w:lvl w:ilvl="5">
      <w:numFmt w:val="bullet"/>
      <w:lvlText w:val="•"/>
      <w:lvlJc w:val="left"/>
      <w:pPr>
        <w:ind w:left="3070" w:hanging="396"/>
      </w:pPr>
      <w:rPr>
        <w:rFonts w:hint="default"/>
        <w:lang w:val="en-US" w:eastAsia="en-US" w:bidi="ar-SA"/>
      </w:rPr>
    </w:lvl>
    <w:lvl w:ilvl="6">
      <w:numFmt w:val="bullet"/>
      <w:lvlText w:val="•"/>
      <w:lvlJc w:val="left"/>
      <w:pPr>
        <w:ind w:left="4491" w:hanging="396"/>
      </w:pPr>
      <w:rPr>
        <w:rFonts w:hint="default"/>
        <w:lang w:val="en-US" w:eastAsia="en-US" w:bidi="ar-SA"/>
      </w:rPr>
    </w:lvl>
    <w:lvl w:ilvl="7">
      <w:numFmt w:val="bullet"/>
      <w:lvlText w:val="•"/>
      <w:lvlJc w:val="left"/>
      <w:pPr>
        <w:ind w:left="5912" w:hanging="396"/>
      </w:pPr>
      <w:rPr>
        <w:rFonts w:hint="default"/>
        <w:lang w:val="en-US" w:eastAsia="en-US" w:bidi="ar-SA"/>
      </w:rPr>
    </w:lvl>
    <w:lvl w:ilvl="8">
      <w:numFmt w:val="bullet"/>
      <w:lvlText w:val="•"/>
      <w:lvlJc w:val="left"/>
      <w:pPr>
        <w:ind w:left="7333" w:hanging="396"/>
      </w:pPr>
      <w:rPr>
        <w:rFonts w:hint="default"/>
        <w:lang w:val="en-US" w:eastAsia="en-US" w:bidi="ar-SA"/>
      </w:rPr>
    </w:lvl>
  </w:abstractNum>
  <w:abstractNum w:abstractNumId="24" w15:restartNumberingAfterBreak="0">
    <w:nsid w:val="6622024B"/>
    <w:multiLevelType w:val="hybridMultilevel"/>
    <w:tmpl w:val="27984030"/>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5B6463"/>
    <w:multiLevelType w:val="hybridMultilevel"/>
    <w:tmpl w:val="DC7865CC"/>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D53CB8"/>
    <w:multiLevelType w:val="hybridMultilevel"/>
    <w:tmpl w:val="49802FC2"/>
    <w:lvl w:ilvl="0" w:tplc="10A855AC">
      <w:start w:val="1"/>
      <w:numFmt w:val="bullet"/>
      <w:lvlText w:val=""/>
      <w:lvlJc w:val="left"/>
      <w:pPr>
        <w:ind w:left="720" w:hanging="360"/>
      </w:pPr>
      <w:rPr>
        <w:rFonts w:ascii="Symbol" w:hAnsi="Symbol" w:hint="default"/>
        <w:color w:val="044B3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66323E"/>
    <w:multiLevelType w:val="hybridMultilevel"/>
    <w:tmpl w:val="70803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383398"/>
    <w:multiLevelType w:val="hybridMultilevel"/>
    <w:tmpl w:val="21A06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245EDE"/>
    <w:multiLevelType w:val="hybridMultilevel"/>
    <w:tmpl w:val="FA927570"/>
    <w:lvl w:ilvl="0" w:tplc="DC84650C">
      <w:start w:val="1"/>
      <w:numFmt w:val="bullet"/>
      <w:lvlText w:val=""/>
      <w:lvlJc w:val="left"/>
      <w:pPr>
        <w:ind w:left="720" w:hanging="360"/>
      </w:pPr>
      <w:rPr>
        <w:rFonts w:ascii="Symbol" w:hAnsi="Symbol" w:hint="default"/>
        <w:color w:val="044B3D"/>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1"/>
  </w:num>
  <w:num w:numId="4">
    <w:abstractNumId w:val="8"/>
  </w:num>
  <w:num w:numId="5">
    <w:abstractNumId w:val="23"/>
  </w:num>
  <w:num w:numId="6">
    <w:abstractNumId w:val="18"/>
  </w:num>
  <w:num w:numId="7">
    <w:abstractNumId w:val="16"/>
  </w:num>
  <w:num w:numId="8">
    <w:abstractNumId w:val="0"/>
  </w:num>
  <w:num w:numId="9">
    <w:abstractNumId w:val="26"/>
  </w:num>
  <w:num w:numId="10">
    <w:abstractNumId w:val="5"/>
  </w:num>
  <w:num w:numId="11">
    <w:abstractNumId w:val="29"/>
  </w:num>
  <w:num w:numId="12">
    <w:abstractNumId w:val="9"/>
  </w:num>
  <w:num w:numId="13">
    <w:abstractNumId w:val="6"/>
  </w:num>
  <w:num w:numId="14">
    <w:abstractNumId w:val="15"/>
  </w:num>
  <w:num w:numId="15">
    <w:abstractNumId w:val="12"/>
  </w:num>
  <w:num w:numId="16">
    <w:abstractNumId w:val="4"/>
  </w:num>
  <w:num w:numId="17">
    <w:abstractNumId w:val="7"/>
  </w:num>
  <w:num w:numId="18">
    <w:abstractNumId w:val="28"/>
  </w:num>
  <w:num w:numId="19">
    <w:abstractNumId w:val="27"/>
  </w:num>
  <w:num w:numId="20">
    <w:abstractNumId w:val="24"/>
  </w:num>
  <w:num w:numId="21">
    <w:abstractNumId w:val="14"/>
  </w:num>
  <w:num w:numId="22">
    <w:abstractNumId w:val="10"/>
  </w:num>
  <w:num w:numId="23">
    <w:abstractNumId w:val="1"/>
  </w:num>
  <w:num w:numId="24">
    <w:abstractNumId w:val="19"/>
  </w:num>
  <w:num w:numId="25">
    <w:abstractNumId w:val="25"/>
  </w:num>
  <w:num w:numId="26">
    <w:abstractNumId w:val="20"/>
  </w:num>
  <w:num w:numId="27">
    <w:abstractNumId w:val="2"/>
  </w:num>
  <w:num w:numId="28">
    <w:abstractNumId w:val="13"/>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1F"/>
    <w:rsid w:val="000D79BC"/>
    <w:rsid w:val="001905BD"/>
    <w:rsid w:val="00224618"/>
    <w:rsid w:val="002540C2"/>
    <w:rsid w:val="00263235"/>
    <w:rsid w:val="002B2373"/>
    <w:rsid w:val="0031797E"/>
    <w:rsid w:val="00374478"/>
    <w:rsid w:val="003821E0"/>
    <w:rsid w:val="003979A5"/>
    <w:rsid w:val="004D7AAF"/>
    <w:rsid w:val="005160A1"/>
    <w:rsid w:val="005359B8"/>
    <w:rsid w:val="0054164A"/>
    <w:rsid w:val="005636D0"/>
    <w:rsid w:val="005C3399"/>
    <w:rsid w:val="005D06B0"/>
    <w:rsid w:val="005E191C"/>
    <w:rsid w:val="006C720B"/>
    <w:rsid w:val="006E4C50"/>
    <w:rsid w:val="006F33C2"/>
    <w:rsid w:val="00780A44"/>
    <w:rsid w:val="00871712"/>
    <w:rsid w:val="00885C59"/>
    <w:rsid w:val="00892633"/>
    <w:rsid w:val="008B00C6"/>
    <w:rsid w:val="00955C79"/>
    <w:rsid w:val="009F3499"/>
    <w:rsid w:val="00A01B90"/>
    <w:rsid w:val="00A23AB2"/>
    <w:rsid w:val="00A81D63"/>
    <w:rsid w:val="00AC1693"/>
    <w:rsid w:val="00B13A86"/>
    <w:rsid w:val="00B716A0"/>
    <w:rsid w:val="00B95A38"/>
    <w:rsid w:val="00BC486D"/>
    <w:rsid w:val="00C45C05"/>
    <w:rsid w:val="00C86F4A"/>
    <w:rsid w:val="00CD201F"/>
    <w:rsid w:val="00D209F8"/>
    <w:rsid w:val="00DD270B"/>
    <w:rsid w:val="00E54F37"/>
    <w:rsid w:val="00EB226F"/>
    <w:rsid w:val="00EC40F5"/>
    <w:rsid w:val="00EC6051"/>
    <w:rsid w:val="00F87FB6"/>
    <w:rsid w:val="00FD5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51DA87"/>
  <w15:chartTrackingRefBased/>
  <w15:docId w15:val="{B29A90FD-B3B8-4440-AC44-878D9F76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BC"/>
  </w:style>
  <w:style w:type="paragraph" w:styleId="Heading1">
    <w:name w:val="heading 1"/>
    <w:basedOn w:val="Normal"/>
    <w:next w:val="Normal"/>
    <w:link w:val="Heading1Char"/>
    <w:uiPriority w:val="9"/>
    <w:qFormat/>
    <w:rsid w:val="00CD2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0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HHeading">
    <w:name w:val="LRH Heading"/>
    <w:basedOn w:val="Heading1"/>
    <w:link w:val="LRHHeadingChar"/>
    <w:qFormat/>
    <w:rsid w:val="00374478"/>
    <w:pPr>
      <w:spacing w:before="120" w:after="120"/>
    </w:pPr>
    <w:rPr>
      <w:rFonts w:ascii="Calibri" w:hAnsi="Calibri"/>
      <w:b/>
      <w:color w:val="auto"/>
      <w:sz w:val="28"/>
    </w:rPr>
  </w:style>
  <w:style w:type="paragraph" w:customStyle="1" w:styleId="LRHNormal">
    <w:name w:val="LRH Normal"/>
    <w:basedOn w:val="LRHHeading"/>
    <w:link w:val="LRHNormalChar"/>
    <w:qFormat/>
    <w:rsid w:val="00263235"/>
    <w:rPr>
      <w:b w:val="0"/>
      <w:sz w:val="24"/>
    </w:rPr>
  </w:style>
  <w:style w:type="character" w:customStyle="1" w:styleId="Heading1Char">
    <w:name w:val="Heading 1 Char"/>
    <w:basedOn w:val="DefaultParagraphFont"/>
    <w:link w:val="Heading1"/>
    <w:uiPriority w:val="9"/>
    <w:rsid w:val="00CD201F"/>
    <w:rPr>
      <w:rFonts w:asciiTheme="majorHAnsi" w:eastAsiaTheme="majorEastAsia" w:hAnsiTheme="majorHAnsi" w:cstheme="majorBidi"/>
      <w:color w:val="2F5496" w:themeColor="accent1" w:themeShade="BF"/>
      <w:sz w:val="32"/>
      <w:szCs w:val="32"/>
    </w:rPr>
  </w:style>
  <w:style w:type="character" w:customStyle="1" w:styleId="LRHHeadingChar">
    <w:name w:val="LRH Heading Char"/>
    <w:basedOn w:val="Heading1Char"/>
    <w:link w:val="LRHHeading"/>
    <w:rsid w:val="00374478"/>
    <w:rPr>
      <w:rFonts w:ascii="Calibri" w:eastAsiaTheme="majorEastAsia" w:hAnsi="Calibri" w:cstheme="majorBidi"/>
      <w:b/>
      <w:color w:val="2F5496" w:themeColor="accent1" w:themeShade="BF"/>
      <w:sz w:val="28"/>
      <w:szCs w:val="32"/>
    </w:rPr>
  </w:style>
  <w:style w:type="character" w:customStyle="1" w:styleId="Heading2Char">
    <w:name w:val="Heading 2 Char"/>
    <w:basedOn w:val="DefaultParagraphFont"/>
    <w:link w:val="Heading2"/>
    <w:uiPriority w:val="9"/>
    <w:rsid w:val="00CD201F"/>
    <w:rPr>
      <w:rFonts w:asciiTheme="majorHAnsi" w:eastAsiaTheme="majorEastAsia" w:hAnsiTheme="majorHAnsi" w:cstheme="majorBidi"/>
      <w:color w:val="2F5496" w:themeColor="accent1" w:themeShade="BF"/>
      <w:sz w:val="26"/>
      <w:szCs w:val="26"/>
    </w:rPr>
  </w:style>
  <w:style w:type="character" w:customStyle="1" w:styleId="LRHNormalChar">
    <w:name w:val="LRH Normal Char"/>
    <w:basedOn w:val="LRHHeadingChar"/>
    <w:link w:val="LRHNormal"/>
    <w:rsid w:val="00CD201F"/>
    <w:rPr>
      <w:rFonts w:ascii="Calibri" w:eastAsiaTheme="majorEastAsia" w:hAnsi="Calibri" w:cstheme="majorBidi"/>
      <w:b w:val="0"/>
      <w:color w:val="282561"/>
      <w:sz w:val="24"/>
      <w:szCs w:val="32"/>
    </w:rPr>
  </w:style>
  <w:style w:type="paragraph" w:styleId="NoSpacing">
    <w:name w:val="No Spacing"/>
    <w:uiPriority w:val="1"/>
    <w:qFormat/>
    <w:rsid w:val="00CD201F"/>
    <w:pPr>
      <w:spacing w:after="0" w:line="240" w:lineRule="auto"/>
    </w:pPr>
  </w:style>
  <w:style w:type="paragraph" w:styleId="Header">
    <w:name w:val="header"/>
    <w:basedOn w:val="Normal"/>
    <w:link w:val="HeaderChar"/>
    <w:uiPriority w:val="99"/>
    <w:unhideWhenUsed/>
    <w:rsid w:val="0038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1E0"/>
  </w:style>
  <w:style w:type="paragraph" w:styleId="Footer">
    <w:name w:val="footer"/>
    <w:basedOn w:val="Normal"/>
    <w:link w:val="FooterChar"/>
    <w:uiPriority w:val="99"/>
    <w:unhideWhenUsed/>
    <w:rsid w:val="0038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1E0"/>
  </w:style>
  <w:style w:type="character" w:styleId="Hyperlink">
    <w:name w:val="Hyperlink"/>
    <w:basedOn w:val="DefaultParagraphFont"/>
    <w:uiPriority w:val="99"/>
    <w:unhideWhenUsed/>
    <w:rsid w:val="003821E0"/>
    <w:rPr>
      <w:color w:val="0563C1" w:themeColor="hyperlink"/>
      <w:u w:val="single"/>
    </w:rPr>
  </w:style>
  <w:style w:type="paragraph" w:styleId="Revision">
    <w:name w:val="Revision"/>
    <w:hidden/>
    <w:uiPriority w:val="99"/>
    <w:semiHidden/>
    <w:rsid w:val="00263235"/>
    <w:pPr>
      <w:spacing w:after="0" w:line="240" w:lineRule="auto"/>
    </w:pPr>
  </w:style>
  <w:style w:type="paragraph" w:styleId="BodyText">
    <w:name w:val="Body Text"/>
    <w:basedOn w:val="Normal"/>
    <w:link w:val="BodyTextChar"/>
    <w:uiPriority w:val="1"/>
    <w:qFormat/>
    <w:rsid w:val="00955C79"/>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955C79"/>
    <w:rPr>
      <w:rFonts w:ascii="Verdana" w:eastAsia="Verdana" w:hAnsi="Verdana" w:cs="Verdana"/>
      <w:sz w:val="20"/>
      <w:szCs w:val="20"/>
      <w:lang w:val="en-US"/>
    </w:rPr>
  </w:style>
  <w:style w:type="paragraph" w:styleId="ListParagraph">
    <w:name w:val="List Paragraph"/>
    <w:basedOn w:val="Normal"/>
    <w:uiPriority w:val="34"/>
    <w:qFormat/>
    <w:rsid w:val="005E191C"/>
    <w:pPr>
      <w:ind w:left="720"/>
      <w:contextualSpacing/>
    </w:pPr>
  </w:style>
  <w:style w:type="table" w:styleId="TableGrid">
    <w:name w:val="Table Grid"/>
    <w:basedOn w:val="TableNormal"/>
    <w:uiPriority w:val="39"/>
    <w:rsid w:val="005E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6F4A"/>
    <w:rPr>
      <w:b/>
      <w:bCs/>
    </w:rPr>
  </w:style>
  <w:style w:type="character" w:styleId="FollowedHyperlink">
    <w:name w:val="FollowedHyperlink"/>
    <w:basedOn w:val="DefaultParagraphFont"/>
    <w:uiPriority w:val="99"/>
    <w:semiHidden/>
    <w:unhideWhenUsed/>
    <w:rsid w:val="00780A44"/>
    <w:rPr>
      <w:color w:val="954F72" w:themeColor="followedHyperlink"/>
      <w:u w:val="single"/>
    </w:rPr>
  </w:style>
  <w:style w:type="paragraph" w:customStyle="1" w:styleId="Default">
    <w:name w:val="Default"/>
    <w:rsid w:val="005359B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09325">
      <w:bodyDiv w:val="1"/>
      <w:marLeft w:val="0"/>
      <w:marRight w:val="0"/>
      <w:marTop w:val="0"/>
      <w:marBottom w:val="0"/>
      <w:divBdr>
        <w:top w:val="none" w:sz="0" w:space="0" w:color="auto"/>
        <w:left w:val="none" w:sz="0" w:space="0" w:color="auto"/>
        <w:bottom w:val="none" w:sz="0" w:space="0" w:color="auto"/>
        <w:right w:val="none" w:sz="0" w:space="0" w:color="auto"/>
      </w:divBdr>
    </w:div>
    <w:div w:id="19173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lrh.com.au" TargetMode="External"/><Relationship Id="rId1" Type="http://schemas.openxmlformats.org/officeDocument/2006/relationships/hyperlink" Target="http://www.lr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D404-5561-4E5F-8958-A222BC92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LRH Template</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LRH Template</dc:title>
  <dc:subject/>
  <dc:creator>Kelsey Hutton</dc:creator>
  <cp:keywords>Template</cp:keywords>
  <dc:description/>
  <cp:lastModifiedBy>Sophie Laurence</cp:lastModifiedBy>
  <cp:revision>2</cp:revision>
  <cp:lastPrinted>2023-06-28T05:57:00Z</cp:lastPrinted>
  <dcterms:created xsi:type="dcterms:W3CDTF">2023-12-07T23:43:00Z</dcterms:created>
  <dcterms:modified xsi:type="dcterms:W3CDTF">2023-12-07T23:43:00Z</dcterms:modified>
</cp:coreProperties>
</file>