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00EDEF7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5C754746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6AFF7063" w:rsidR="00725C6A" w:rsidRPr="00725C6A" w:rsidRDefault="007A2A96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Legal Counsel</w:t>
            </w:r>
          </w:p>
        </w:tc>
      </w:tr>
      <w:tr w:rsidR="00C263B4" w:rsidRPr="00D107AB" w14:paraId="7995307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6672C826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</w:p>
        </w:tc>
        <w:tc>
          <w:tcPr>
            <w:tcW w:w="5840" w:type="dxa"/>
          </w:tcPr>
          <w:p w14:paraId="507A2974" w14:textId="1C7EA1FD" w:rsidR="00C263B4" w:rsidRPr="00725C6A" w:rsidRDefault="007A2A96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Legal</w:t>
            </w:r>
          </w:p>
        </w:tc>
      </w:tr>
      <w:tr w:rsidR="00C263B4" w:rsidRPr="00D107AB" w14:paraId="5573B26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3E752F0B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96065" w14:textId="66706AC4" w:rsidR="00696746" w:rsidRPr="00725C6A" w:rsidRDefault="007A2A96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Legal &amp; Strategy </w:t>
            </w:r>
          </w:p>
        </w:tc>
      </w:tr>
      <w:tr w:rsidR="00C263B4" w:rsidRPr="00D107AB" w14:paraId="6C4AB84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1280A51B" w14:textId="64876F63" w:rsidR="00C263B4" w:rsidRPr="007A2A96" w:rsidRDefault="004D3D87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Senior</w:t>
            </w:r>
            <w:r w:rsidR="007A2A96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Legal </w:t>
            </w:r>
            <w:r w:rsidR="007A2A96">
              <w:rPr>
                <w:rFonts w:ascii="Century Gothic" w:hAnsi="Century Gothic"/>
                <w:sz w:val="20"/>
              </w:rPr>
              <w:t>Counsel</w:t>
            </w:r>
          </w:p>
        </w:tc>
      </w:tr>
      <w:tr w:rsidR="00C263B4" w:rsidRPr="00D107AB" w14:paraId="4F5C07A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F1A97" w14:textId="0966E7B9" w:rsidR="00C263B4" w:rsidRDefault="007A2A96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</w:tc>
      </w:tr>
    </w:tbl>
    <w:p w14:paraId="2893B74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580B06DB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1C78D02C" w14:textId="77777777" w:rsidR="007A2A96" w:rsidRPr="00C75E6C" w:rsidRDefault="007A2A96" w:rsidP="007A2A96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Legal &amp; Strategy</w:t>
            </w:r>
            <w:r w:rsidRPr="00C75E6C">
              <w:rPr>
                <w:rFonts w:ascii="Century Gothic" w:hAnsi="Century Gothic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20"/>
                <w:szCs w:val="22"/>
              </w:rPr>
              <w:t>Team</w:t>
            </w:r>
          </w:p>
          <w:p w14:paraId="54B3B973" w14:textId="77777777" w:rsidR="00EC7805" w:rsidRPr="0089464D" w:rsidRDefault="00EC7805" w:rsidP="00EC7805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Operations Department</w:t>
            </w:r>
          </w:p>
          <w:p w14:paraId="2A57F99C" w14:textId="68CD9A12" w:rsidR="00EC7805" w:rsidRDefault="00EC7805" w:rsidP="00EC7805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Sales &amp;</w:t>
            </w:r>
            <w:r w:rsidRPr="0089464D">
              <w:rPr>
                <w:rFonts w:ascii="Century Gothic" w:hAnsi="Century Gothic"/>
                <w:sz w:val="20"/>
                <w:szCs w:val="22"/>
              </w:rPr>
              <w:t xml:space="preserve"> Commercial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Department</w:t>
            </w:r>
          </w:p>
          <w:p w14:paraId="2346280E" w14:textId="5A5F4829" w:rsidR="00EC7805" w:rsidRPr="00EC7805" w:rsidRDefault="00EC7805" w:rsidP="00EC7805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Marketing &amp; Experience Department</w:t>
            </w:r>
          </w:p>
          <w:p w14:paraId="79578E34" w14:textId="0627145B" w:rsidR="00EC7805" w:rsidRDefault="00EC7805" w:rsidP="00EC7805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Corporate Affairs &amp; Communications</w:t>
            </w:r>
            <w:r w:rsidRPr="00C75E6C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  <w:p w14:paraId="24448DF3" w14:textId="1065B6DB" w:rsidR="00EC7805" w:rsidRDefault="00EC7805" w:rsidP="00EC7805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Business Services Department</w:t>
            </w:r>
          </w:p>
          <w:p w14:paraId="0E0C68BF" w14:textId="0351EF57" w:rsidR="007A2A96" w:rsidRPr="00C75E6C" w:rsidRDefault="007A2A96" w:rsidP="00EC7805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pacing w:val="-2"/>
                <w:sz w:val="20"/>
                <w:szCs w:val="22"/>
              </w:rPr>
            </w:pPr>
            <w:r w:rsidRPr="00C75E6C">
              <w:rPr>
                <w:rFonts w:ascii="Century Gothic" w:hAnsi="Century Gothic"/>
                <w:sz w:val="20"/>
                <w:szCs w:val="22"/>
              </w:rPr>
              <w:t>AGPC Board Members</w:t>
            </w:r>
          </w:p>
          <w:p w14:paraId="0D1B11BA" w14:textId="77777777" w:rsidR="007A2A96" w:rsidRPr="008A14F7" w:rsidRDefault="007A2A96" w:rsidP="007A2A9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3A12E41D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1C5FD3D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770D6AD9" w14:textId="77777777" w:rsidR="007A2A96" w:rsidRPr="009A7768" w:rsidRDefault="007A2A96" w:rsidP="007A2A96">
            <w:pPr>
              <w:suppressAutoHyphens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sz w:val="20"/>
              </w:rPr>
              <w:t>External legal advisors</w:t>
            </w:r>
          </w:p>
          <w:p w14:paraId="58C8F74C" w14:textId="77777777" w:rsidR="007A2A96" w:rsidRPr="0089464D" w:rsidRDefault="007A2A96" w:rsidP="007A2A96">
            <w:pPr>
              <w:suppressAutoHyphens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sz w:val="20"/>
              </w:rPr>
              <w:t>Government</w:t>
            </w:r>
          </w:p>
          <w:p w14:paraId="30C4112D" w14:textId="77777777" w:rsidR="007A2A96" w:rsidRPr="008A14F7" w:rsidRDefault="007A2A96" w:rsidP="007A2A9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2390B254" w14:textId="5623D938" w:rsidR="001C60B3" w:rsidRPr="005153F3" w:rsidRDefault="007A2A96" w:rsidP="005153F3">
            <w:pPr>
              <w:suppressAutoHyphens/>
              <w:rPr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</w:tc>
      </w:tr>
    </w:tbl>
    <w:p w14:paraId="42C839B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0C712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0C712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0C712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0270FB79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Connect people to business, </w:t>
            </w:r>
            <w:proofErr w:type="gramStart"/>
            <w:r w:rsidRPr="000C712B">
              <w:rPr>
                <w:rFonts w:ascii="Century Gothic" w:hAnsi="Century Gothic"/>
                <w:spacing w:val="-3"/>
                <w:sz w:val="20"/>
              </w:rPr>
              <w:t>brands</w:t>
            </w:r>
            <w:proofErr w:type="gramEnd"/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and our sport</w:t>
            </w:r>
          </w:p>
          <w:p w14:paraId="7A70D578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lastRenderedPageBreak/>
              <w:t>Inspire the future by driving technology and innovation</w:t>
            </w:r>
          </w:p>
          <w:p w14:paraId="6B3BBC32" w14:textId="77777777" w:rsidR="00237F39" w:rsidRPr="000C712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45E987F3" w14:textId="34864C1B" w:rsidR="00EC5BA0" w:rsidRPr="005153F3" w:rsidRDefault="00237F39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</w:tc>
      </w:tr>
      <w:tr w:rsidR="00682D3B" w:rsidRPr="00080E77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782BFA5F" w14:textId="5FED7AA1" w:rsidR="00682D3B" w:rsidRPr="0038397E" w:rsidRDefault="0038397E" w:rsidP="005153F3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</w:tc>
      </w:tr>
      <w:tr w:rsidR="00C83564" w:rsidRPr="00080E77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26CA78A5" w14:textId="34B00646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</w:tc>
      </w:tr>
      <w:tr w:rsidR="00BD263E" w:rsidRPr="00080E77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2EA7AA08" w14:textId="68AC4A6C" w:rsidR="002353A0" w:rsidRPr="0038397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BD263E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</w:tc>
      </w:tr>
    </w:tbl>
    <w:p w14:paraId="70790112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329F6CCF" w14:textId="1CA3C244" w:rsidR="000C712B" w:rsidRP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Proactively manage all instructions and lead delivery of solutions and contract drafting of all legal requirements across the business</w:t>
            </w:r>
          </w:p>
          <w:p w14:paraId="01C10EAA" w14:textId="3AA34AB4" w:rsidR="000C712B" w:rsidRP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Map and deliver a contract priority system, both in terms of current drafting and future procurement priorities</w:t>
            </w:r>
          </w:p>
          <w:p w14:paraId="7C0ACC4A" w14:textId="6E511B8E" w:rsidR="000C712B" w:rsidRP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Become the trusted business partner in guiding procurement and tendering processes</w:t>
            </w:r>
          </w:p>
          <w:p w14:paraId="13FDCB06" w14:textId="1939977D" w:rsidR="000C712B" w:rsidRP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Maintain and update a suite of standard form precedent contracts</w:t>
            </w:r>
          </w:p>
          <w:p w14:paraId="79BF18E6" w14:textId="1DCAC153" w:rsidR="000C712B" w:rsidRP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Provide sound, practical, succinct and solutions orientated advice and strategic guidance</w:t>
            </w:r>
          </w:p>
          <w:p w14:paraId="19C2E370" w14:textId="53833CC0" w:rsidR="000C712B" w:rsidRDefault="000C712B" w:rsidP="000C712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Be able to communicate contractual risk effectively</w:t>
            </w:r>
          </w:p>
          <w:p w14:paraId="31085534" w14:textId="77777777" w:rsidR="007A4768" w:rsidRPr="000A2E54" w:rsidRDefault="007A4768" w:rsidP="007A476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A2E54">
              <w:rPr>
                <w:rFonts w:ascii="Century Gothic" w:hAnsi="Century Gothic"/>
                <w:spacing w:val="-3"/>
                <w:sz w:val="20"/>
              </w:rPr>
              <w:t xml:space="preserve">Assist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with </w:t>
            </w:r>
            <w:r w:rsidRPr="000A2E54">
              <w:rPr>
                <w:rFonts w:ascii="Century Gothic" w:hAnsi="Century Gothic"/>
                <w:spacing w:val="-3"/>
                <w:sz w:val="20"/>
              </w:rPr>
              <w:t>the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administrative requirements of</w:t>
            </w:r>
            <w:r w:rsidRPr="000A2E54">
              <w:rPr>
                <w:rFonts w:ascii="Century Gothic" w:hAnsi="Century Gothic"/>
                <w:spacing w:val="-3"/>
                <w:sz w:val="20"/>
              </w:rPr>
              <w:t xml:space="preserve"> contract management system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proofErr w:type="gramStart"/>
            <w:r>
              <w:rPr>
                <w:rFonts w:ascii="Century Gothic" w:hAnsi="Century Gothic"/>
                <w:spacing w:val="-3"/>
                <w:sz w:val="20"/>
              </w:rPr>
              <w:t>budgeting</w:t>
            </w:r>
            <w:proofErr w:type="gramEnd"/>
            <w:r>
              <w:rPr>
                <w:rFonts w:ascii="Century Gothic" w:hAnsi="Century Gothic"/>
                <w:spacing w:val="-3"/>
                <w:sz w:val="20"/>
              </w:rPr>
              <w:t xml:space="preserve"> and other legal operations</w:t>
            </w:r>
            <w:r w:rsidRPr="000A2E5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7B9879B" w14:textId="77777777" w:rsidR="007A4768" w:rsidRDefault="007A4768" w:rsidP="007A476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Assist with the administrative requirements of the Board and committees. </w:t>
            </w:r>
          </w:p>
          <w:p w14:paraId="677F73C5" w14:textId="05109838" w:rsidR="001C60B3" w:rsidRPr="005153F3" w:rsidRDefault="000C712B" w:rsidP="005153F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Ability to use technological solutions in development and implementation of legal, contract management and procurement systems</w:t>
            </w:r>
          </w:p>
        </w:tc>
      </w:tr>
      <w:tr w:rsidR="007865B4" w:rsidRPr="00080E77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65F430BF" w14:textId="5EBC142D" w:rsidR="007A2A96" w:rsidRDefault="007A2A96" w:rsidP="000C712B">
            <w:pPr>
              <w:rPr>
                <w:rFonts w:ascii="Century Gothic" w:hAnsi="Century Gothic"/>
                <w:sz w:val="20"/>
              </w:rPr>
            </w:pPr>
            <w:r w:rsidRPr="007A2A96">
              <w:rPr>
                <w:rFonts w:ascii="Century Gothic" w:hAnsi="Century Gothic" w:cstheme="minorBidi"/>
                <w:b/>
                <w:sz w:val="20"/>
                <w:u w:val="single"/>
              </w:rPr>
              <w:t xml:space="preserve">Legal </w:t>
            </w:r>
          </w:p>
          <w:p w14:paraId="74D893A7" w14:textId="3AC0C0BB" w:rsidR="007A2A96" w:rsidRDefault="007A2A96" w:rsidP="007A2A96">
            <w:pPr>
              <w:rPr>
                <w:rFonts w:ascii="Century Gothic" w:hAnsi="Century Gothic"/>
                <w:sz w:val="20"/>
              </w:rPr>
            </w:pPr>
          </w:p>
          <w:p w14:paraId="37ACD46D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Structure of commercial arrangements</w:t>
            </w:r>
            <w:r w:rsidRPr="009A7768">
              <w:rPr>
                <w:rFonts w:ascii="Century Gothic" w:hAnsi="Century Gothic"/>
                <w:sz w:val="20"/>
              </w:rPr>
              <w:t xml:space="preserve"> - drafting and negotiation of various agreements particularly sponsorship, supplier, </w:t>
            </w:r>
            <w:proofErr w:type="gramStart"/>
            <w:r w:rsidRPr="009A7768">
              <w:rPr>
                <w:rFonts w:ascii="Century Gothic" w:hAnsi="Century Gothic"/>
                <w:sz w:val="20"/>
              </w:rPr>
              <w:t>talent</w:t>
            </w:r>
            <w:proofErr w:type="gramEnd"/>
            <w:r w:rsidRPr="009A7768">
              <w:rPr>
                <w:rFonts w:ascii="Century Gothic" w:hAnsi="Century Gothic"/>
                <w:sz w:val="20"/>
              </w:rPr>
              <w:t xml:space="preserve"> and engineering agreements including strategic advice in terms of structuring and use of purchase orders where appropriate</w:t>
            </w:r>
          </w:p>
          <w:p w14:paraId="7C5E2FC3" w14:textId="51607C86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Procurement &amp; Tender Processes</w:t>
            </w:r>
            <w:r w:rsidRPr="009A7768">
              <w:rPr>
                <w:rFonts w:ascii="Century Gothic" w:hAnsi="Century Gothic"/>
                <w:sz w:val="20"/>
              </w:rPr>
              <w:t xml:space="preserve"> - preparation of tender documents and management and provision </w:t>
            </w:r>
            <w:r w:rsidRPr="009A7768">
              <w:rPr>
                <w:rFonts w:ascii="Century Gothic" w:hAnsi="Century Gothic"/>
                <w:sz w:val="20"/>
              </w:rPr>
              <w:lastRenderedPageBreak/>
              <w:t>of strategic advice and guidance to ensure commercial outcomes are optimised</w:t>
            </w:r>
            <w:r w:rsidR="002B0638">
              <w:rPr>
                <w:rFonts w:ascii="Century Gothic" w:hAnsi="Century Gothic"/>
                <w:sz w:val="20"/>
              </w:rPr>
              <w:t>, including advising on Local Jobs First Policy. Will be r</w:t>
            </w:r>
            <w:r w:rsidR="007A4768">
              <w:rPr>
                <w:rFonts w:ascii="Century Gothic" w:hAnsi="Century Gothic"/>
                <w:sz w:val="20"/>
              </w:rPr>
              <w:t>e</w:t>
            </w:r>
            <w:r w:rsidR="002B0638">
              <w:rPr>
                <w:rFonts w:ascii="Century Gothic" w:hAnsi="Century Gothic"/>
                <w:sz w:val="20"/>
              </w:rPr>
              <w:t>q</w:t>
            </w:r>
            <w:r w:rsidR="007A4768">
              <w:rPr>
                <w:rFonts w:ascii="Century Gothic" w:hAnsi="Century Gothic"/>
                <w:sz w:val="20"/>
              </w:rPr>
              <w:t>u</w:t>
            </w:r>
            <w:r w:rsidR="002B0638">
              <w:rPr>
                <w:rFonts w:ascii="Century Gothic" w:hAnsi="Century Gothic"/>
                <w:sz w:val="20"/>
              </w:rPr>
              <w:t>ired to manage Tender submissions via online portal (</w:t>
            </w:r>
            <w:proofErr w:type="spellStart"/>
            <w:r w:rsidR="002B0638">
              <w:rPr>
                <w:rFonts w:ascii="Century Gothic" w:hAnsi="Century Gothic"/>
                <w:sz w:val="20"/>
              </w:rPr>
              <w:t>Tendersearch</w:t>
            </w:r>
            <w:proofErr w:type="spellEnd"/>
            <w:r w:rsidR="007A4768">
              <w:rPr>
                <w:rFonts w:ascii="Century Gothic" w:hAnsi="Century Gothic"/>
                <w:sz w:val="20"/>
              </w:rPr>
              <w:t>)</w:t>
            </w:r>
            <w:r w:rsidR="002B0638">
              <w:rPr>
                <w:rFonts w:ascii="Century Gothic" w:hAnsi="Century Gothic"/>
                <w:sz w:val="20"/>
              </w:rPr>
              <w:t>.</w:t>
            </w:r>
            <w:r w:rsidR="007A4768">
              <w:rPr>
                <w:rFonts w:ascii="Century Gothic" w:hAnsi="Century Gothic"/>
                <w:sz w:val="20"/>
              </w:rPr>
              <w:t xml:space="preserve"> Ensure compliance, as required, with Victorian Government Purchasing Board policies and requirements. </w:t>
            </w:r>
          </w:p>
          <w:p w14:paraId="445B47B2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Risk Management</w:t>
            </w:r>
            <w:r w:rsidRPr="009A7768">
              <w:rPr>
                <w:rFonts w:ascii="Century Gothic" w:hAnsi="Century Gothic"/>
                <w:sz w:val="20"/>
              </w:rPr>
              <w:t xml:space="preserve"> – work in partnership with the Risk Manager to ensure risk assessments are undertaken and risk minimisation strategies are implemented across all contractual arrangements</w:t>
            </w:r>
          </w:p>
          <w:p w14:paraId="7CDA5B3E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b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Precedents</w:t>
            </w:r>
            <w:r w:rsidRPr="009A7768">
              <w:rPr>
                <w:rFonts w:ascii="Century Gothic" w:hAnsi="Century Gothic"/>
                <w:sz w:val="20"/>
              </w:rPr>
              <w:t xml:space="preserve"> – initial development of and updating on an annual basis sponsorship, supplier, offsite </w:t>
            </w:r>
            <w:proofErr w:type="gramStart"/>
            <w:r w:rsidRPr="009A7768">
              <w:rPr>
                <w:rFonts w:ascii="Century Gothic" w:hAnsi="Century Gothic"/>
                <w:sz w:val="20"/>
              </w:rPr>
              <w:t>services</w:t>
            </w:r>
            <w:proofErr w:type="gramEnd"/>
            <w:r w:rsidRPr="009A7768">
              <w:rPr>
                <w:rFonts w:ascii="Century Gothic" w:hAnsi="Century Gothic"/>
                <w:sz w:val="20"/>
              </w:rPr>
              <w:t xml:space="preserve"> and purchase order precedents</w:t>
            </w:r>
          </w:p>
          <w:p w14:paraId="5FEB42B9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 xml:space="preserve">Marketing Collateral </w:t>
            </w:r>
            <w:r w:rsidRPr="009A7768">
              <w:rPr>
                <w:rFonts w:ascii="Century Gothic" w:hAnsi="Century Gothic"/>
                <w:sz w:val="20"/>
              </w:rPr>
              <w:t xml:space="preserve">– review and approving marketing collateral and trade promotions in accordance with regulatory requirements </w:t>
            </w:r>
          </w:p>
          <w:p w14:paraId="4B555177" w14:textId="77777777" w:rsidR="000C712B" w:rsidRPr="009A7768" w:rsidDel="00A302BF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 xml:space="preserve">Terms &amp; Conditions </w:t>
            </w:r>
            <w:r w:rsidRPr="009A7768">
              <w:rPr>
                <w:rFonts w:ascii="Century Gothic" w:hAnsi="Century Gothic"/>
                <w:sz w:val="20"/>
              </w:rPr>
              <w:t>– reviewing and updating all Corporation’s terms and conditions required by the business including conditions of entry and sale, corporate facility order forms and general conditions of contracts</w:t>
            </w:r>
          </w:p>
          <w:p w14:paraId="23231421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Intellectual Property</w:t>
            </w:r>
            <w:r w:rsidRPr="009A7768">
              <w:rPr>
                <w:rFonts w:ascii="Century Gothic" w:hAnsi="Century Gothic"/>
                <w:sz w:val="20"/>
              </w:rPr>
              <w:t xml:space="preserve"> - management and enforcement of the intellectual property portfolio including liaising with FOM as required </w:t>
            </w:r>
          </w:p>
          <w:p w14:paraId="13C7FDEC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Staff Policies</w:t>
            </w:r>
            <w:r w:rsidRPr="009A7768">
              <w:rPr>
                <w:rFonts w:ascii="Century Gothic" w:hAnsi="Century Gothic"/>
                <w:sz w:val="20"/>
              </w:rPr>
              <w:t xml:space="preserve"> – assist Human Resources with updating policies and briefing of staff on an on-going basis</w:t>
            </w:r>
          </w:p>
          <w:p w14:paraId="7A650898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 xml:space="preserve">Dispute Resolution </w:t>
            </w:r>
            <w:r w:rsidRPr="009A7768">
              <w:rPr>
                <w:rFonts w:ascii="Century Gothic" w:hAnsi="Century Gothic"/>
                <w:sz w:val="20"/>
              </w:rPr>
              <w:t>– support litigation as required and pragmatically advise on all dispute resolution options</w:t>
            </w:r>
          </w:p>
          <w:p w14:paraId="1107A276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 xml:space="preserve">FOI – </w:t>
            </w:r>
            <w:r w:rsidRPr="009A7768">
              <w:rPr>
                <w:rFonts w:ascii="Century Gothic" w:hAnsi="Century Gothic"/>
                <w:sz w:val="20"/>
              </w:rPr>
              <w:t>assist FOI officer with administration of Freedom of Information requests and overall business compliance</w:t>
            </w:r>
          </w:p>
          <w:p w14:paraId="6CF04A6D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 xml:space="preserve">Declarations - </w:t>
            </w:r>
            <w:r w:rsidRPr="009A7768">
              <w:rPr>
                <w:rFonts w:ascii="Century Gothic" w:hAnsi="Century Gothic"/>
                <w:sz w:val="20"/>
              </w:rPr>
              <w:t xml:space="preserve">obtaining necessary Ministerial approvals and declarations for logos and event names including </w:t>
            </w:r>
            <w:proofErr w:type="spellStart"/>
            <w:r w:rsidRPr="009A7768">
              <w:rPr>
                <w:rFonts w:ascii="Century Gothic" w:hAnsi="Century Gothic"/>
                <w:sz w:val="20"/>
              </w:rPr>
              <w:t>gazettals</w:t>
            </w:r>
            <w:proofErr w:type="spellEnd"/>
            <w:r w:rsidRPr="009A7768">
              <w:rPr>
                <w:rFonts w:ascii="Century Gothic" w:hAnsi="Century Gothic"/>
                <w:sz w:val="20"/>
              </w:rPr>
              <w:t>;</w:t>
            </w:r>
          </w:p>
          <w:p w14:paraId="59643553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Operations Declarations</w:t>
            </w:r>
            <w:r w:rsidRPr="009A7768">
              <w:rPr>
                <w:rFonts w:ascii="Century Gothic" w:hAnsi="Century Gothic"/>
                <w:sz w:val="20"/>
              </w:rPr>
              <w:t xml:space="preserve"> – assist Operations with declarations for road closures, race </w:t>
            </w:r>
            <w:r w:rsidRPr="008F009D">
              <w:rPr>
                <w:rFonts w:ascii="Century Gothic" w:hAnsi="Century Gothic"/>
                <w:sz w:val="20"/>
              </w:rPr>
              <w:t>periods, declared area and designated access areas</w:t>
            </w:r>
          </w:p>
          <w:p w14:paraId="745EA98F" w14:textId="77777777" w:rsidR="000C712B" w:rsidRPr="009A7768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Event Attendances</w:t>
            </w:r>
            <w:r w:rsidRPr="009A7768">
              <w:rPr>
                <w:rFonts w:ascii="Century Gothic" w:hAnsi="Century Gothic"/>
                <w:sz w:val="20"/>
              </w:rPr>
              <w:t xml:space="preserve"> - co-ordination and facilitation of Governor, Premier and Ministerial attendances including arrivals, </w:t>
            </w:r>
            <w:proofErr w:type="gramStart"/>
            <w:r w:rsidRPr="009A7768">
              <w:rPr>
                <w:rFonts w:ascii="Century Gothic" w:hAnsi="Century Gothic"/>
                <w:sz w:val="20"/>
              </w:rPr>
              <w:t>departures</w:t>
            </w:r>
            <w:proofErr w:type="gramEnd"/>
            <w:r w:rsidRPr="009A7768">
              <w:rPr>
                <w:rFonts w:ascii="Century Gothic" w:hAnsi="Century Gothic"/>
                <w:sz w:val="20"/>
              </w:rPr>
              <w:t xml:space="preserve"> and tours of venues</w:t>
            </w:r>
          </w:p>
          <w:p w14:paraId="31933903" w14:textId="65534388" w:rsidR="000C712B" w:rsidRPr="000C712B" w:rsidRDefault="000C712B" w:rsidP="000C712B">
            <w:pPr>
              <w:numPr>
                <w:ilvl w:val="0"/>
                <w:numId w:val="28"/>
              </w:numPr>
              <w:ind w:right="1"/>
              <w:rPr>
                <w:rFonts w:ascii="Century Gothic" w:hAnsi="Century Gothic"/>
                <w:sz w:val="20"/>
              </w:rPr>
            </w:pPr>
            <w:r w:rsidRPr="009A7768">
              <w:rPr>
                <w:rFonts w:ascii="Century Gothic" w:hAnsi="Century Gothic"/>
                <w:b/>
                <w:sz w:val="20"/>
              </w:rPr>
              <w:t>Brand Protection</w:t>
            </w:r>
            <w:r w:rsidRPr="009A7768">
              <w:rPr>
                <w:rFonts w:ascii="Century Gothic" w:hAnsi="Century Gothic"/>
                <w:sz w:val="20"/>
              </w:rPr>
              <w:t xml:space="preserve"> - assist Sponsorship with anti-counterfeiting program at each event</w:t>
            </w:r>
          </w:p>
          <w:p w14:paraId="601C2D63" w14:textId="77777777" w:rsidR="000C712B" w:rsidRDefault="000C712B" w:rsidP="007A2A96">
            <w:pPr>
              <w:rPr>
                <w:rFonts w:ascii="Century Gothic" w:hAnsi="Century Gothic"/>
                <w:sz w:val="20"/>
              </w:rPr>
            </w:pPr>
          </w:p>
          <w:p w14:paraId="3BC735CF" w14:textId="7D960801" w:rsidR="007A2A96" w:rsidRDefault="002B0638" w:rsidP="007A2A96">
            <w:pPr>
              <w:rPr>
                <w:rFonts w:ascii="Century Gothic" w:hAnsi="Century Gothic" w:cstheme="minorBidi"/>
                <w:b/>
                <w:sz w:val="20"/>
                <w:u w:val="single"/>
              </w:rPr>
            </w:pPr>
            <w:r>
              <w:rPr>
                <w:rFonts w:ascii="Century Gothic" w:hAnsi="Century Gothic" w:cstheme="minorBidi"/>
                <w:b/>
                <w:sz w:val="20"/>
                <w:u w:val="single"/>
              </w:rPr>
              <w:t>Operations/</w:t>
            </w:r>
            <w:r w:rsidR="00FB5091" w:rsidRPr="007A2A96">
              <w:rPr>
                <w:rFonts w:ascii="Century Gothic" w:hAnsi="Century Gothic" w:cstheme="minorBidi"/>
                <w:b/>
                <w:sz w:val="20"/>
                <w:u w:val="single"/>
              </w:rPr>
              <w:t>Administrati</w:t>
            </w:r>
            <w:r w:rsidR="00FB5091">
              <w:rPr>
                <w:rFonts w:ascii="Century Gothic" w:hAnsi="Century Gothic" w:cstheme="minorBidi"/>
                <w:b/>
                <w:sz w:val="20"/>
                <w:u w:val="single"/>
              </w:rPr>
              <w:t>on</w:t>
            </w:r>
            <w:r w:rsidR="007A2A96" w:rsidRPr="007A2A96">
              <w:rPr>
                <w:rFonts w:ascii="Century Gothic" w:hAnsi="Century Gothic" w:cstheme="minorBidi"/>
                <w:b/>
                <w:sz w:val="20"/>
                <w:u w:val="single"/>
              </w:rPr>
              <w:t xml:space="preserve"> </w:t>
            </w:r>
          </w:p>
          <w:p w14:paraId="4ADE71C7" w14:textId="77777777" w:rsidR="007A2A96" w:rsidRPr="007A2A96" w:rsidRDefault="007A2A96" w:rsidP="007A2A96">
            <w:pPr>
              <w:rPr>
                <w:rFonts w:ascii="Century Gothic" w:hAnsi="Century Gothic" w:cstheme="minorBidi"/>
                <w:b/>
                <w:sz w:val="20"/>
                <w:u w:val="single"/>
              </w:rPr>
            </w:pPr>
          </w:p>
          <w:p w14:paraId="64681279" w14:textId="7FBDFAB5" w:rsidR="007A2A96" w:rsidRPr="00C75E6C" w:rsidRDefault="002B0638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proofErr w:type="spellStart"/>
            <w:r w:rsidRPr="005153F3">
              <w:rPr>
                <w:rFonts w:ascii="Century Gothic" w:hAnsi="Century Gothic"/>
                <w:b/>
                <w:bCs/>
                <w:sz w:val="20"/>
              </w:rPr>
              <w:t>Electronc</w:t>
            </w:r>
            <w:proofErr w:type="spellEnd"/>
            <w:r w:rsidRPr="005153F3">
              <w:rPr>
                <w:rFonts w:ascii="Century Gothic" w:hAnsi="Century Gothic"/>
                <w:b/>
                <w:bCs/>
                <w:sz w:val="20"/>
              </w:rPr>
              <w:t xml:space="preserve"> filing 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7A2A96" w:rsidRPr="00C75E6C">
              <w:rPr>
                <w:rFonts w:ascii="Century Gothic" w:hAnsi="Century Gothic"/>
                <w:sz w:val="20"/>
              </w:rPr>
              <w:t>Manage onl</w:t>
            </w:r>
            <w:r w:rsidR="007A2A96">
              <w:rPr>
                <w:rFonts w:ascii="Century Gothic" w:hAnsi="Century Gothic"/>
                <w:sz w:val="20"/>
              </w:rPr>
              <w:t xml:space="preserve">ine and hardcopy filing system of Contracts </w:t>
            </w:r>
            <w:r w:rsidR="007A2A96">
              <w:rPr>
                <w:rFonts w:ascii="Century Gothic" w:hAnsi="Century Gothic"/>
                <w:spacing w:val="-3"/>
                <w:sz w:val="20"/>
              </w:rPr>
              <w:t>including uploading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all signed</w:t>
            </w:r>
            <w:r w:rsidR="007A2A96">
              <w:rPr>
                <w:rFonts w:ascii="Century Gothic" w:hAnsi="Century Gothic"/>
                <w:spacing w:val="-3"/>
                <w:sz w:val="20"/>
              </w:rPr>
              <w:t xml:space="preserve"> contracts to ensure the accuracy of the contract management system, liaising with software provider as required and training and assisting AGPC Staff to use the system</w:t>
            </w:r>
            <w:r w:rsidR="007A2A96">
              <w:rPr>
                <w:rFonts w:ascii="Century Gothic" w:hAnsi="Century Gothic"/>
                <w:sz w:val="20"/>
              </w:rPr>
              <w:t xml:space="preserve">. </w:t>
            </w:r>
          </w:p>
          <w:p w14:paraId="350B281D" w14:textId="10587A5B" w:rsidR="007A4768" w:rsidRDefault="007A2A96" w:rsidP="002B0638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Manage</w:t>
            </w:r>
            <w:r w:rsidRPr="00C75E6C">
              <w:rPr>
                <w:rFonts w:ascii="Century Gothic" w:hAnsi="Century Gothic"/>
                <w:sz w:val="20"/>
              </w:rPr>
              <w:t xml:space="preserve"> administration </w:t>
            </w:r>
            <w:r w:rsidR="000C712B">
              <w:rPr>
                <w:rFonts w:ascii="Century Gothic" w:hAnsi="Century Gothic"/>
                <w:sz w:val="20"/>
              </w:rPr>
              <w:t xml:space="preserve">and scheduling </w:t>
            </w:r>
            <w:r w:rsidRPr="00C75E6C">
              <w:rPr>
                <w:rFonts w:ascii="Century Gothic" w:hAnsi="Century Gothic"/>
                <w:sz w:val="20"/>
              </w:rPr>
              <w:t xml:space="preserve">requirements for government </w:t>
            </w:r>
            <w:proofErr w:type="spellStart"/>
            <w:r w:rsidR="007A4768">
              <w:rPr>
                <w:rFonts w:ascii="Century Gothic" w:hAnsi="Century Gothic"/>
                <w:sz w:val="20"/>
              </w:rPr>
              <w:t>offocials</w:t>
            </w:r>
            <w:proofErr w:type="spellEnd"/>
            <w:r w:rsidR="007A4768">
              <w:rPr>
                <w:rFonts w:ascii="Century Gothic" w:hAnsi="Century Gothic"/>
                <w:sz w:val="20"/>
              </w:rPr>
              <w:t xml:space="preserve"> </w:t>
            </w:r>
            <w:r w:rsidRPr="00C75E6C">
              <w:rPr>
                <w:rFonts w:ascii="Century Gothic" w:hAnsi="Century Gothic"/>
                <w:sz w:val="20"/>
              </w:rPr>
              <w:t xml:space="preserve">and dignitary attendance at </w:t>
            </w:r>
            <w:r>
              <w:rPr>
                <w:rFonts w:ascii="Century Gothic" w:hAnsi="Century Gothic"/>
                <w:sz w:val="20"/>
              </w:rPr>
              <w:t xml:space="preserve">upcoming </w:t>
            </w:r>
            <w:r w:rsidRPr="00C75E6C">
              <w:rPr>
                <w:rFonts w:ascii="Century Gothic" w:hAnsi="Century Gothic"/>
                <w:sz w:val="20"/>
              </w:rPr>
              <w:t>events</w:t>
            </w:r>
            <w:r>
              <w:rPr>
                <w:rFonts w:ascii="Century Gothic" w:hAnsi="Century Gothic"/>
                <w:sz w:val="20"/>
              </w:rPr>
              <w:t>.</w:t>
            </w:r>
            <w:r w:rsidRPr="00C75E6C">
              <w:rPr>
                <w:rFonts w:ascii="Century Gothic" w:hAnsi="Century Gothic"/>
                <w:sz w:val="20"/>
              </w:rPr>
              <w:t xml:space="preserve"> </w:t>
            </w:r>
          </w:p>
          <w:p w14:paraId="6E137F67" w14:textId="7C5A736D" w:rsidR="002B0638" w:rsidRPr="001A0AE3" w:rsidRDefault="002B0638" w:rsidP="002B0638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 w:rsidRPr="001A0AE3">
              <w:rPr>
                <w:rFonts w:ascii="Century Gothic" w:hAnsi="Century Gothic"/>
                <w:sz w:val="20"/>
              </w:rPr>
              <w:t xml:space="preserve">Manage administration requirements for Board and Committees. </w:t>
            </w:r>
          </w:p>
          <w:p w14:paraId="3086F719" w14:textId="3A0C8C70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Undertake monthly budgeting review and invoice coding</w:t>
            </w:r>
            <w:r w:rsidR="007A4768">
              <w:rPr>
                <w:rFonts w:ascii="Century Gothic" w:hAnsi="Century Gothic"/>
                <w:sz w:val="20"/>
              </w:rPr>
              <w:t xml:space="preserve"> for the legal budget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44C23713" w14:textId="77777777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Keep up to date with external stakeholders contact lists.</w:t>
            </w:r>
          </w:p>
          <w:p w14:paraId="69C7A832" w14:textId="77777777" w:rsidR="007A2A96" w:rsidRPr="00095414" w:rsidRDefault="007A2A96" w:rsidP="007A2A96">
            <w:pPr>
              <w:numPr>
                <w:ilvl w:val="0"/>
                <w:numId w:val="25"/>
              </w:numPr>
              <w:rPr>
                <w:rFonts w:ascii="Century Gothic" w:hAnsi="Century Gothic" w:cstheme="minorBidi"/>
                <w:sz w:val="20"/>
              </w:rPr>
            </w:pPr>
            <w:r w:rsidRPr="00095414">
              <w:rPr>
                <w:rFonts w:ascii="Century Gothic" w:hAnsi="Century Gothic" w:cstheme="minorBidi"/>
                <w:sz w:val="20"/>
              </w:rPr>
              <w:t xml:space="preserve">Coordinate </w:t>
            </w:r>
            <w:r>
              <w:rPr>
                <w:rFonts w:ascii="Century Gothic" w:hAnsi="Century Gothic" w:cstheme="minorBidi"/>
                <w:sz w:val="20"/>
              </w:rPr>
              <w:t>and chair pre and post event</w:t>
            </w:r>
            <w:r w:rsidRPr="00095414">
              <w:rPr>
                <w:rFonts w:ascii="Century Gothic" w:hAnsi="Century Gothic" w:cstheme="minorBidi"/>
                <w:sz w:val="20"/>
              </w:rPr>
              <w:t xml:space="preserve"> meetings with all departments</w:t>
            </w:r>
            <w:r>
              <w:rPr>
                <w:rFonts w:ascii="Century Gothic" w:hAnsi="Century Gothic" w:cstheme="minorBidi"/>
                <w:sz w:val="20"/>
              </w:rPr>
              <w:t>.</w:t>
            </w:r>
            <w:r w:rsidRPr="00095414">
              <w:rPr>
                <w:rFonts w:ascii="Century Gothic" w:hAnsi="Century Gothic" w:cstheme="minorBidi"/>
                <w:sz w:val="20"/>
              </w:rPr>
              <w:t xml:space="preserve"> </w:t>
            </w:r>
          </w:p>
          <w:p w14:paraId="2B8C6D44" w14:textId="77777777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 with the preparation and delivery of internal legal training. </w:t>
            </w:r>
          </w:p>
          <w:p w14:paraId="4548A125" w14:textId="77777777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Manage any ad hoc gifts or meals for meetings.</w:t>
            </w:r>
          </w:p>
          <w:p w14:paraId="0E5AE14F" w14:textId="72A9EC31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Coordinate inductions and manuals.</w:t>
            </w:r>
          </w:p>
          <w:p w14:paraId="73A45029" w14:textId="77777777" w:rsidR="002B0638" w:rsidRDefault="002B0638" w:rsidP="007A2A9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4F825782" w14:textId="03A8C52B" w:rsidR="007A2A96" w:rsidRDefault="007A2A96" w:rsidP="007A2A9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Strategy</w:t>
            </w:r>
          </w:p>
          <w:p w14:paraId="5725B035" w14:textId="77777777" w:rsidR="007A2A96" w:rsidRDefault="007A2A96" w:rsidP="007A2A9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5663FED3" w14:textId="77777777" w:rsidR="007A2A96" w:rsidRDefault="007A2A96" w:rsidP="007A2A9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Assisting the strategy area of the Corporation through work on the </w:t>
            </w:r>
            <w:r w:rsidRPr="004E5F09">
              <w:rPr>
                <w:rFonts w:ascii="Century Gothic" w:hAnsi="Century Gothic"/>
                <w:sz w:val="20"/>
              </w:rPr>
              <w:t>strategy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document and strategy implementation through relevant areas like local community connection.</w:t>
            </w:r>
          </w:p>
          <w:p w14:paraId="4A8591D6" w14:textId="77777777" w:rsidR="002E5A62" w:rsidRDefault="002E5A62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75C6F552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4FA84AF8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650F3CC" w14:textId="31B43EA1" w:rsidR="002B0638" w:rsidRDefault="002B063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Manage the annual </w:t>
            </w:r>
            <w:r w:rsidRPr="002B0638">
              <w:rPr>
                <w:rFonts w:ascii="Century Gothic" w:hAnsi="Century Gothic"/>
                <w:spacing w:val="-3"/>
                <w:sz w:val="20"/>
              </w:rPr>
              <w:t>Conflict of Interest Declaration Process</w:t>
            </w:r>
          </w:p>
          <w:p w14:paraId="6AD38293" w14:textId="63668BFE" w:rsidR="002B0638" w:rsidRDefault="002B063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Assist with annual reporting</w:t>
            </w:r>
          </w:p>
          <w:p w14:paraId="0A0231AF" w14:textId="2A9BDDD3" w:rsidR="007A4768" w:rsidRDefault="007A476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Co-ordinate obligations and reporting under the </w:t>
            </w:r>
            <w:r w:rsidR="002B0638">
              <w:rPr>
                <w:rFonts w:ascii="Century Gothic" w:hAnsi="Century Gothic"/>
                <w:spacing w:val="-3"/>
                <w:sz w:val="20"/>
              </w:rPr>
              <w:t xml:space="preserve">Modern Slavery </w:t>
            </w:r>
            <w:r>
              <w:rPr>
                <w:rFonts w:ascii="Century Gothic" w:hAnsi="Century Gothic"/>
                <w:spacing w:val="-3"/>
                <w:sz w:val="20"/>
              </w:rPr>
              <w:t>Act</w:t>
            </w:r>
          </w:p>
          <w:p w14:paraId="70156F41" w14:textId="5FB88585" w:rsidR="002B0638" w:rsidRDefault="007A476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Assist with the</w:t>
            </w:r>
            <w:r w:rsidR="002B0638">
              <w:rPr>
                <w:rFonts w:ascii="Century Gothic" w:hAnsi="Century Gothic"/>
                <w:spacing w:val="-3"/>
                <w:sz w:val="20"/>
              </w:rPr>
              <w:t xml:space="preserve"> Local Laws Declaration</w:t>
            </w:r>
          </w:p>
          <w:p w14:paraId="3687F9A0" w14:textId="3899C3BD" w:rsidR="002B0638" w:rsidRDefault="002B063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Oversee and advise on compliance with Social Procurement Strategy</w:t>
            </w:r>
          </w:p>
          <w:p w14:paraId="027B64A8" w14:textId="1B4B1695" w:rsidR="002B0638" w:rsidRDefault="002B0638" w:rsidP="002B0638">
            <w:pPr>
              <w:pStyle w:val="ListParagraph"/>
              <w:numPr>
                <w:ilvl w:val="0"/>
                <w:numId w:val="25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Submit annual </w:t>
            </w:r>
            <w:proofErr w:type="spellStart"/>
            <w:r>
              <w:rPr>
                <w:rFonts w:ascii="Century Gothic" w:hAnsi="Century Gothic"/>
                <w:spacing w:val="-3"/>
                <w:sz w:val="20"/>
              </w:rPr>
              <w:t>Gazettals</w:t>
            </w:r>
            <w:proofErr w:type="spellEnd"/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AAE21DB" w14:textId="77777777" w:rsidR="002B0638" w:rsidRPr="005153F3" w:rsidRDefault="002B0638" w:rsidP="005153F3">
            <w:pPr>
              <w:pStyle w:val="ListParagraph"/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35C970E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4706DE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4706DE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7C6ECA77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011D3A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436F0DA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7865B4" w:rsidRPr="00EF3473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50371F41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7865B4" w:rsidRPr="00242488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1B0637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7865B4" w:rsidRPr="00CE4A5E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1F4805CB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6767FAD3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</w:t>
            </w:r>
            <w:proofErr w:type="gramStart"/>
            <w:r w:rsidRPr="001B0637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1B0637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1B0E4BB1" w14:textId="77777777" w:rsidR="007A4768" w:rsidRDefault="007A4768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373BFBF9" w14:textId="2A7B434C" w:rsidR="007A4768" w:rsidRDefault="007A4768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34B8786B" w14:textId="77777777" w:rsidR="007A4768" w:rsidRDefault="007A4768" w:rsidP="007A476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At the reasonable request of your 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5700E79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38507CE3" w14:textId="72FB3D89" w:rsidR="001B0637" w:rsidRPr="0055252C" w:rsidRDefault="001B0637" w:rsidP="0055252C">
      <w:pPr>
        <w:rPr>
          <w:rFonts w:ascii="Century Gothic" w:hAnsi="Century Gothic"/>
          <w:sz w:val="20"/>
        </w:rPr>
      </w:pPr>
    </w:p>
    <w:p w14:paraId="02D3E151" w14:textId="3AB93EDC" w:rsidR="00894469" w:rsidRPr="001B0637" w:rsidRDefault="006F09A9">
      <w:pPr>
        <w:pStyle w:val="Heading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080E77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E21BF1F" w14:textId="77777777" w:rsidR="00DD6090" w:rsidRPr="00F117B5" w:rsidRDefault="00DD6090" w:rsidP="00DD6090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6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Tertiary qualifications in Law</w:t>
            </w:r>
          </w:p>
          <w:p w14:paraId="4FADFFFF" w14:textId="77777777" w:rsidR="00DD6090" w:rsidRPr="00F117B5" w:rsidRDefault="00DD6090" w:rsidP="00DD6090">
            <w:pPr>
              <w:pStyle w:val="Header"/>
              <w:numPr>
                <w:ilvl w:val="0"/>
                <w:numId w:val="29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9A7768">
              <w:rPr>
                <w:rFonts w:ascii="Century Gothic" w:hAnsi="Century Gothic"/>
                <w:spacing w:val="-3"/>
                <w:sz w:val="20"/>
              </w:rPr>
              <w:t>Current Australian practising certificate</w:t>
            </w:r>
          </w:p>
          <w:p w14:paraId="6142BD84" w14:textId="09A9E787" w:rsidR="00DD6090" w:rsidRDefault="00151D5F" w:rsidP="00DD6090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before="60"/>
              <w:rPr>
                <w:rFonts w:ascii="Century Gothic" w:hAnsi="Century Gothic"/>
                <w:spacing w:val="-3"/>
                <w:sz w:val="20"/>
              </w:rPr>
            </w:pPr>
            <w:r w:rsidRPr="005153F3">
              <w:rPr>
                <w:rFonts w:ascii="Century Gothic" w:hAnsi="Century Gothic"/>
                <w:spacing w:val="-3"/>
                <w:sz w:val="20"/>
              </w:rPr>
              <w:lastRenderedPageBreak/>
              <w:t>Minimum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4D3D87">
              <w:rPr>
                <w:rFonts w:ascii="Century Gothic" w:hAnsi="Century Gothic"/>
                <w:spacing w:val="-3"/>
                <w:sz w:val="20"/>
              </w:rPr>
              <w:t>3+</w:t>
            </w:r>
            <w:r w:rsidR="00DD6090">
              <w:rPr>
                <w:rFonts w:ascii="Century Gothic" w:hAnsi="Century Gothic"/>
                <w:spacing w:val="-3"/>
                <w:sz w:val="20"/>
              </w:rPr>
              <w:t xml:space="preserve"> years PQE </w:t>
            </w:r>
            <w:r w:rsidR="00DD6090" w:rsidRPr="000D2222">
              <w:rPr>
                <w:rFonts w:ascii="Century Gothic" w:hAnsi="Century Gothic"/>
                <w:spacing w:val="-3"/>
                <w:sz w:val="20"/>
              </w:rPr>
              <w:t>gained within a leading law firm or in-house (including secondment)</w:t>
            </w:r>
          </w:p>
          <w:p w14:paraId="576AA321" w14:textId="77777777" w:rsidR="00663BB0" w:rsidRPr="00080E77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lastRenderedPageBreak/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24EE56FA" w14:textId="2E103C16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535F6F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0C712B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0C712B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0C712B">
              <w:rPr>
                <w:rFonts w:ascii="Century Gothic" w:hAnsi="Century Gothic"/>
                <w:spacing w:val="-3"/>
                <w:sz w:val="20"/>
              </w:rPr>
              <w:t>Adaptability</w:t>
            </w:r>
            <w:r w:rsidR="00F276BE">
              <w:rPr>
                <w:rFonts w:ascii="Century Gothic" w:hAnsi="Century Gothic"/>
                <w:spacing w:val="-3"/>
                <w:sz w:val="20"/>
              </w:rPr>
              <w:t xml:space="preserve"> and Resilience</w:t>
            </w:r>
          </w:p>
          <w:p w14:paraId="741FEF69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8307893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0C712B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0C712B" w:rsidRDefault="00237F39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Pr="000C712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0C712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 w:rsidRPr="000C712B">
              <w:rPr>
                <w:rFonts w:ascii="Century Gothic" w:hAnsi="Century Gothic"/>
                <w:spacing w:val="-3"/>
                <w:sz w:val="20"/>
              </w:rPr>
              <w:t>, Verbal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 w:rsidRPr="000C712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Pr="000C712B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0C712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 w:rsidRPr="000C712B">
              <w:rPr>
                <w:rFonts w:ascii="Century Gothic" w:hAnsi="Century Gothic"/>
                <w:spacing w:val="-3"/>
                <w:sz w:val="20"/>
              </w:rPr>
              <w:t>communication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Pr="000C712B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0C712B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0C712B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5857D2E1" w:rsidR="00DB18CF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0C712B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0C712B">
              <w:rPr>
                <w:rFonts w:ascii="Century Gothic" w:hAnsi="Century Gothic"/>
                <w:spacing w:val="-3"/>
                <w:sz w:val="20"/>
              </w:rPr>
              <w:t>e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0C712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0C712B">
              <w:rPr>
                <w:rFonts w:ascii="Century Gothic" w:hAnsi="Century Gothic"/>
                <w:spacing w:val="-3"/>
                <w:sz w:val="20"/>
              </w:rPr>
              <w:t>e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 w:rsidRPr="000C712B">
              <w:rPr>
                <w:rFonts w:ascii="Century Gothic" w:hAnsi="Century Gothic"/>
                <w:spacing w:val="-3"/>
                <w:sz w:val="20"/>
              </w:rPr>
              <w:t>constructively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 w:rsidRPr="000C712B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 w:rsidRPr="000C712B">
              <w:rPr>
                <w:rFonts w:ascii="Century Gothic" w:hAnsi="Century Gothic"/>
                <w:spacing w:val="-3"/>
                <w:sz w:val="20"/>
              </w:rPr>
              <w:t>from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0C712B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3C41E1B9" w14:textId="73A02516" w:rsidR="00435B55" w:rsidRPr="00435B55" w:rsidRDefault="00435B55" w:rsidP="00435B5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Excellent attention to detail</w:t>
            </w:r>
          </w:p>
          <w:p w14:paraId="4822AE1C" w14:textId="77777777" w:rsidR="00DB18CF" w:rsidRPr="000C712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Pr="000C712B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 w:rsidRPr="000C712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 w:rsidRPr="000C712B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0C712B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0C712B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demands</w:t>
            </w:r>
          </w:p>
          <w:p w14:paraId="06875741" w14:textId="5E04C1AE" w:rsidR="00693FC8" w:rsidRPr="000C712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0C712B">
              <w:rPr>
                <w:rFonts w:ascii="Century Gothic" w:hAnsi="Century Gothic"/>
                <w:spacing w:val="-3"/>
                <w:sz w:val="20"/>
              </w:rPr>
              <w:t xml:space="preserve">effectively prioritise and 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0C712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0C712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0C712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 w:rsidRPr="000C712B">
              <w:rPr>
                <w:rFonts w:ascii="Century Gothic" w:hAnsi="Century Gothic"/>
                <w:spacing w:val="-3"/>
                <w:sz w:val="20"/>
              </w:rPr>
              <w:t>,</w:t>
            </w:r>
            <w:r w:rsidRPr="000C712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0C712B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 w:rsidRPr="000C712B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0C712B">
              <w:rPr>
                <w:rFonts w:ascii="Century Gothic" w:hAnsi="Century Gothic"/>
                <w:spacing w:val="-3"/>
                <w:sz w:val="20"/>
              </w:rPr>
              <w:t>Experience in information management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10B21156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5D39" w14:textId="77777777" w:rsidR="00857E64" w:rsidRDefault="00857E64">
      <w:r>
        <w:separator/>
      </w:r>
    </w:p>
  </w:endnote>
  <w:endnote w:type="continuationSeparator" w:id="0">
    <w:p w14:paraId="7CB22358" w14:textId="77777777" w:rsidR="00857E64" w:rsidRDefault="008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C436" w14:textId="2E44385A" w:rsidR="00FE2510" w:rsidRDefault="00FE2510">
    <w:pPr>
      <w:pStyle w:val="Footer"/>
    </w:pPr>
    <w:r>
      <w:t xml:space="preserve">Last Updated </w:t>
    </w:r>
    <w:r w:rsidR="005153F3">
      <w:t>27/08/2021</w:t>
    </w:r>
    <w:r w:rsidR="005153F3">
      <w:tab/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ACC4" w14:textId="77777777" w:rsidR="00857E64" w:rsidRDefault="00857E64">
      <w:r>
        <w:separator/>
      </w:r>
    </w:p>
  </w:footnote>
  <w:footnote w:type="continuationSeparator" w:id="0">
    <w:p w14:paraId="516509E2" w14:textId="77777777" w:rsidR="00857E64" w:rsidRDefault="0085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95A"/>
    <w:multiLevelType w:val="hybridMultilevel"/>
    <w:tmpl w:val="8EB8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E28"/>
    <w:multiLevelType w:val="hybridMultilevel"/>
    <w:tmpl w:val="BD667F0A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63B"/>
    <w:multiLevelType w:val="hybridMultilevel"/>
    <w:tmpl w:val="61D0B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0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6FC4"/>
    <w:multiLevelType w:val="hybridMultilevel"/>
    <w:tmpl w:val="1D081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47E1"/>
    <w:multiLevelType w:val="multilevel"/>
    <w:tmpl w:val="752A326E"/>
    <w:lvl w:ilvl="0">
      <w:start w:val="1"/>
      <w:numFmt w:val="decimal"/>
      <w:pStyle w:val="MOLList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MOLList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MOLListL3"/>
      <w:lvlText w:val="(%3)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upperLetter"/>
      <w:pStyle w:val="MOLList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MOLList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MOLListL6"/>
      <w:lvlText w:val="(%6)"/>
      <w:lvlJc w:val="left"/>
      <w:pPr>
        <w:tabs>
          <w:tab w:val="num" w:pos="3915"/>
        </w:tabs>
        <w:ind w:left="3402" w:hanging="567"/>
      </w:pPr>
      <w:rPr>
        <w:rFonts w:hint="default"/>
      </w:rPr>
    </w:lvl>
    <w:lvl w:ilvl="6">
      <w:start w:val="1"/>
      <w:numFmt w:val="lowerLetter"/>
      <w:pStyle w:val="MOLListL7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pStyle w:val="MOLListL8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pStyle w:val="MOLListL9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23"/>
  </w:num>
  <w:num w:numId="9">
    <w:abstractNumId w:val="16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8"/>
  </w:num>
  <w:num w:numId="16">
    <w:abstractNumId w:val="22"/>
  </w:num>
  <w:num w:numId="17">
    <w:abstractNumId w:val="4"/>
  </w:num>
  <w:num w:numId="18">
    <w:abstractNumId w:val="28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26"/>
  </w:num>
  <w:num w:numId="24">
    <w:abstractNumId w:val="3"/>
  </w:num>
  <w:num w:numId="25">
    <w:abstractNumId w:val="6"/>
  </w:num>
  <w:num w:numId="26">
    <w:abstractNumId w:val="27"/>
  </w:num>
  <w:num w:numId="27">
    <w:abstractNumId w:val="0"/>
  </w:num>
  <w:num w:numId="28">
    <w:abstractNumId w:val="14"/>
  </w:num>
  <w:num w:numId="2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4D3E"/>
    <w:rsid w:val="00035053"/>
    <w:rsid w:val="00054508"/>
    <w:rsid w:val="0005599B"/>
    <w:rsid w:val="00071C7C"/>
    <w:rsid w:val="00080E77"/>
    <w:rsid w:val="000A26F7"/>
    <w:rsid w:val="000A49FB"/>
    <w:rsid w:val="000B2A96"/>
    <w:rsid w:val="000C712B"/>
    <w:rsid w:val="000E205D"/>
    <w:rsid w:val="001055B5"/>
    <w:rsid w:val="001164D1"/>
    <w:rsid w:val="00121F9B"/>
    <w:rsid w:val="0013323A"/>
    <w:rsid w:val="00151D5F"/>
    <w:rsid w:val="001574A6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150B4"/>
    <w:rsid w:val="00221F8F"/>
    <w:rsid w:val="00224337"/>
    <w:rsid w:val="0022487E"/>
    <w:rsid w:val="00225B67"/>
    <w:rsid w:val="002353A0"/>
    <w:rsid w:val="00237F39"/>
    <w:rsid w:val="002508F7"/>
    <w:rsid w:val="0025180D"/>
    <w:rsid w:val="00262A98"/>
    <w:rsid w:val="00287816"/>
    <w:rsid w:val="0029391B"/>
    <w:rsid w:val="002A1928"/>
    <w:rsid w:val="002B0638"/>
    <w:rsid w:val="002B1624"/>
    <w:rsid w:val="002C53BC"/>
    <w:rsid w:val="002E2667"/>
    <w:rsid w:val="002E3BC8"/>
    <w:rsid w:val="002E5A62"/>
    <w:rsid w:val="002F4765"/>
    <w:rsid w:val="0030263A"/>
    <w:rsid w:val="003310CE"/>
    <w:rsid w:val="003464B7"/>
    <w:rsid w:val="00353B7F"/>
    <w:rsid w:val="00372286"/>
    <w:rsid w:val="003767B0"/>
    <w:rsid w:val="00377035"/>
    <w:rsid w:val="00381F4E"/>
    <w:rsid w:val="0038397E"/>
    <w:rsid w:val="00384A50"/>
    <w:rsid w:val="0039019A"/>
    <w:rsid w:val="003B725D"/>
    <w:rsid w:val="003C5924"/>
    <w:rsid w:val="003D2F9D"/>
    <w:rsid w:val="003E545D"/>
    <w:rsid w:val="00407CF8"/>
    <w:rsid w:val="00411C7D"/>
    <w:rsid w:val="00435B55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377"/>
    <w:rsid w:val="004B4637"/>
    <w:rsid w:val="004C5C57"/>
    <w:rsid w:val="004D3D87"/>
    <w:rsid w:val="004E0914"/>
    <w:rsid w:val="004E608F"/>
    <w:rsid w:val="004E758F"/>
    <w:rsid w:val="004F342A"/>
    <w:rsid w:val="00511934"/>
    <w:rsid w:val="005153F3"/>
    <w:rsid w:val="00527509"/>
    <w:rsid w:val="00535F6F"/>
    <w:rsid w:val="00537E23"/>
    <w:rsid w:val="0054152C"/>
    <w:rsid w:val="0055252C"/>
    <w:rsid w:val="005576EE"/>
    <w:rsid w:val="00563AC0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201A9"/>
    <w:rsid w:val="006564F3"/>
    <w:rsid w:val="00663BB0"/>
    <w:rsid w:val="006670F1"/>
    <w:rsid w:val="00682D3B"/>
    <w:rsid w:val="00693FC8"/>
    <w:rsid w:val="00696746"/>
    <w:rsid w:val="00697541"/>
    <w:rsid w:val="006C2B28"/>
    <w:rsid w:val="006C48FF"/>
    <w:rsid w:val="006E310B"/>
    <w:rsid w:val="006F09A9"/>
    <w:rsid w:val="0070689A"/>
    <w:rsid w:val="00722A29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A2A96"/>
    <w:rsid w:val="007A4768"/>
    <w:rsid w:val="007C150E"/>
    <w:rsid w:val="007C2AD1"/>
    <w:rsid w:val="007C3C8F"/>
    <w:rsid w:val="007D5A08"/>
    <w:rsid w:val="00852C45"/>
    <w:rsid w:val="00857E64"/>
    <w:rsid w:val="008614B0"/>
    <w:rsid w:val="00862C01"/>
    <w:rsid w:val="00863D41"/>
    <w:rsid w:val="0087681D"/>
    <w:rsid w:val="00880D33"/>
    <w:rsid w:val="00894469"/>
    <w:rsid w:val="008A14F7"/>
    <w:rsid w:val="008A3D78"/>
    <w:rsid w:val="008A4C4E"/>
    <w:rsid w:val="008B5CBE"/>
    <w:rsid w:val="008D399B"/>
    <w:rsid w:val="008E0803"/>
    <w:rsid w:val="008E081D"/>
    <w:rsid w:val="008E285C"/>
    <w:rsid w:val="008F283B"/>
    <w:rsid w:val="009063FB"/>
    <w:rsid w:val="00923E9C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75E19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2DE1"/>
    <w:rsid w:val="00D96C13"/>
    <w:rsid w:val="00DB18CF"/>
    <w:rsid w:val="00DB4EDE"/>
    <w:rsid w:val="00DC3358"/>
    <w:rsid w:val="00DC4CE5"/>
    <w:rsid w:val="00DC70C4"/>
    <w:rsid w:val="00DD6090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C2C0B"/>
    <w:rsid w:val="00EC5BA0"/>
    <w:rsid w:val="00EC7805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1523"/>
    <w:rsid w:val="00F826F2"/>
    <w:rsid w:val="00F83815"/>
    <w:rsid w:val="00FA3772"/>
    <w:rsid w:val="00FB1497"/>
    <w:rsid w:val="00FB5091"/>
    <w:rsid w:val="00FC0459"/>
    <w:rsid w:val="00FE2510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paragraph" w:customStyle="1" w:styleId="MOLListL1">
    <w:name w:val="MOL List (L1)"/>
    <w:basedOn w:val="Normal"/>
    <w:rsid w:val="007A2A96"/>
    <w:pPr>
      <w:numPr>
        <w:numId w:val="26"/>
      </w:numPr>
      <w:spacing w:before="120"/>
    </w:pPr>
    <w:rPr>
      <w:sz w:val="22"/>
      <w:lang w:eastAsia="en-US"/>
    </w:rPr>
  </w:style>
  <w:style w:type="paragraph" w:customStyle="1" w:styleId="MOLListL2">
    <w:name w:val="MOL List (L2)"/>
    <w:basedOn w:val="Normal"/>
    <w:rsid w:val="007A2A96"/>
    <w:pPr>
      <w:numPr>
        <w:ilvl w:val="1"/>
        <w:numId w:val="26"/>
      </w:numPr>
      <w:spacing w:before="120"/>
    </w:pPr>
    <w:rPr>
      <w:sz w:val="22"/>
      <w:lang w:eastAsia="en-US"/>
    </w:rPr>
  </w:style>
  <w:style w:type="paragraph" w:customStyle="1" w:styleId="MOLListL3">
    <w:name w:val="MOL List (L3)"/>
    <w:basedOn w:val="Normal"/>
    <w:rsid w:val="007A2A96"/>
    <w:pPr>
      <w:numPr>
        <w:ilvl w:val="2"/>
        <w:numId w:val="26"/>
      </w:numPr>
      <w:tabs>
        <w:tab w:val="left" w:pos="1701"/>
      </w:tabs>
      <w:spacing w:before="120"/>
    </w:pPr>
    <w:rPr>
      <w:sz w:val="22"/>
      <w:lang w:eastAsia="en-US"/>
    </w:rPr>
  </w:style>
  <w:style w:type="paragraph" w:customStyle="1" w:styleId="MOLListL4">
    <w:name w:val="MOL List (L4)"/>
    <w:basedOn w:val="Normal"/>
    <w:rsid w:val="007A2A96"/>
    <w:pPr>
      <w:numPr>
        <w:ilvl w:val="3"/>
        <w:numId w:val="26"/>
      </w:numPr>
      <w:spacing w:before="120"/>
    </w:pPr>
    <w:rPr>
      <w:sz w:val="22"/>
      <w:lang w:eastAsia="en-US"/>
    </w:rPr>
  </w:style>
  <w:style w:type="paragraph" w:customStyle="1" w:styleId="MOLListL5">
    <w:name w:val="MOL List (L5)"/>
    <w:basedOn w:val="Normal"/>
    <w:rsid w:val="007A2A96"/>
    <w:pPr>
      <w:numPr>
        <w:ilvl w:val="4"/>
        <w:numId w:val="26"/>
      </w:numPr>
      <w:spacing w:before="120"/>
    </w:pPr>
    <w:rPr>
      <w:sz w:val="22"/>
      <w:lang w:eastAsia="en-US"/>
    </w:rPr>
  </w:style>
  <w:style w:type="paragraph" w:customStyle="1" w:styleId="MOLListL6">
    <w:name w:val="MOL List (L6)"/>
    <w:basedOn w:val="Normal"/>
    <w:rsid w:val="007A2A96"/>
    <w:pPr>
      <w:numPr>
        <w:ilvl w:val="5"/>
        <w:numId w:val="26"/>
      </w:numPr>
      <w:tabs>
        <w:tab w:val="left" w:pos="3402"/>
      </w:tabs>
      <w:spacing w:before="120"/>
    </w:pPr>
    <w:rPr>
      <w:sz w:val="22"/>
      <w:lang w:eastAsia="en-US"/>
    </w:rPr>
  </w:style>
  <w:style w:type="paragraph" w:customStyle="1" w:styleId="MOLListL7">
    <w:name w:val="MOL List (L7)"/>
    <w:basedOn w:val="Normal"/>
    <w:rsid w:val="007A2A96"/>
    <w:pPr>
      <w:numPr>
        <w:ilvl w:val="6"/>
        <w:numId w:val="26"/>
      </w:numPr>
      <w:spacing w:before="120"/>
    </w:pPr>
    <w:rPr>
      <w:sz w:val="22"/>
      <w:lang w:eastAsia="en-US"/>
    </w:rPr>
  </w:style>
  <w:style w:type="paragraph" w:customStyle="1" w:styleId="MOLListL8">
    <w:name w:val="MOL List (L8)"/>
    <w:basedOn w:val="Normal"/>
    <w:rsid w:val="007A2A96"/>
    <w:pPr>
      <w:numPr>
        <w:ilvl w:val="7"/>
        <w:numId w:val="26"/>
      </w:numPr>
      <w:tabs>
        <w:tab w:val="left" w:pos="4536"/>
      </w:tabs>
      <w:spacing w:before="120"/>
    </w:pPr>
    <w:rPr>
      <w:sz w:val="22"/>
      <w:lang w:eastAsia="en-US"/>
    </w:rPr>
  </w:style>
  <w:style w:type="paragraph" w:customStyle="1" w:styleId="MOLListL9">
    <w:name w:val="MOL List (L9)"/>
    <w:basedOn w:val="Normal"/>
    <w:rsid w:val="007A2A96"/>
    <w:pPr>
      <w:numPr>
        <w:ilvl w:val="8"/>
        <w:numId w:val="26"/>
      </w:numPr>
      <w:spacing w:before="120"/>
    </w:pPr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2510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2B06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7070-FF6B-4BB8-903E-9CBB72F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9127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Steph Tirado</cp:lastModifiedBy>
  <cp:revision>2</cp:revision>
  <cp:lastPrinted>2007-02-20T05:17:00Z</cp:lastPrinted>
  <dcterms:created xsi:type="dcterms:W3CDTF">2021-08-27T02:09:00Z</dcterms:created>
  <dcterms:modified xsi:type="dcterms:W3CDTF">2021-08-27T02:09:00Z</dcterms:modified>
</cp:coreProperties>
</file>