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8B0EC7" w:rsidRPr="00D107AB" w14:paraId="00EDEF7C" w14:textId="77777777" w:rsidTr="008B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77777777" w:rsidR="008B0EC7" w:rsidRPr="00725C6A" w:rsidRDefault="008B0EC7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73E67F47" w:rsidR="008B0EC7" w:rsidRPr="00F60096" w:rsidRDefault="008B0EC7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</w:pPr>
            <w:r w:rsidRPr="00F60096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  <w:t xml:space="preserve">Manager - </w:t>
            </w:r>
            <w:r w:rsidRPr="00F60096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  <w:t>Corporate Affairs &amp; Communications</w:t>
            </w:r>
          </w:p>
        </w:tc>
      </w:tr>
      <w:tr w:rsidR="008B0EC7" w:rsidRPr="00D107AB" w14:paraId="7995307D" w14:textId="77777777" w:rsidTr="008B0E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77777777" w:rsidR="008B0EC7" w:rsidRPr="00725C6A" w:rsidRDefault="008B0EC7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507A2974" w14:textId="55F21992" w:rsidR="008B0EC7" w:rsidRPr="00F60096" w:rsidRDefault="008B0EC7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</w:pPr>
            <w:r w:rsidRPr="00F60096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  <w:t>Corporate Affairs &amp; Communications</w:t>
            </w:r>
          </w:p>
        </w:tc>
      </w:tr>
      <w:tr w:rsidR="008B0EC7" w:rsidRPr="00D107AB" w14:paraId="6C4AB84D" w14:textId="6B7B3910" w:rsidTr="008B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8B0EC7" w:rsidRPr="00080E77" w:rsidRDefault="008B0EC7" w:rsidP="008B0EC7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80A51B" w14:textId="5F95D763" w:rsidR="008B0EC7" w:rsidRPr="00F60096" w:rsidRDefault="008B0EC7" w:rsidP="008B0EC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</w:pPr>
            <w:r w:rsidRPr="00F60096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  <w:t>Division Manager – Corporate Affairs &amp; Communications</w:t>
            </w:r>
          </w:p>
        </w:tc>
      </w:tr>
      <w:tr w:rsidR="008B0EC7" w:rsidRPr="00D107AB" w14:paraId="4F5C07AB" w14:textId="77777777" w:rsidTr="008B0EC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8B0EC7" w:rsidRPr="00080E77" w:rsidRDefault="008B0EC7" w:rsidP="008B0EC7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</w:tcPr>
          <w:p w14:paraId="666F1A97" w14:textId="4C7C7D23" w:rsidR="008B0EC7" w:rsidRPr="00F60096" w:rsidRDefault="008B0EC7" w:rsidP="008B0EC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</w:pPr>
            <w:r w:rsidRPr="00F60096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  <w:lang w:eastAsia="en-AU"/>
              </w:rPr>
              <w:t>Full time</w:t>
            </w:r>
          </w:p>
        </w:tc>
      </w:tr>
    </w:tbl>
    <w:p w14:paraId="2893B74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580B06DB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4DBF1FF0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Chief Executive Officer</w:t>
            </w:r>
          </w:p>
          <w:p w14:paraId="38391B5F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Chairman</w:t>
            </w:r>
          </w:p>
          <w:p w14:paraId="01DBD58C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General Managers across the business </w:t>
            </w:r>
          </w:p>
          <w:p w14:paraId="699BFAA7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Sales and Marketing teams</w:t>
            </w:r>
          </w:p>
          <w:p w14:paraId="01C5FD3D" w14:textId="1FEBCB9D" w:rsidR="008A14F7" w:rsidRPr="008A14F7" w:rsidRDefault="008B0EC7" w:rsidP="008B0EC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r w:rsidR="008A14F7"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5C44B3AF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International and National Media</w:t>
            </w:r>
          </w:p>
          <w:p w14:paraId="52AE21D5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Government</w:t>
            </w:r>
          </w:p>
          <w:p w14:paraId="7D54B95F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External Stakeholders</w:t>
            </w:r>
          </w:p>
          <w:p w14:paraId="36587F47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External agencies</w:t>
            </w:r>
          </w:p>
          <w:p w14:paraId="7C1793BE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F1 and MotoGP Teams</w:t>
            </w:r>
          </w:p>
          <w:p w14:paraId="2F8BCEC5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proofErr w:type="spellStart"/>
            <w:r w:rsidRPr="008B0EC7">
              <w:rPr>
                <w:rFonts w:ascii="Century Gothic" w:hAnsi="Century Gothic"/>
                <w:spacing w:val="-3"/>
                <w:sz w:val="20"/>
              </w:rPr>
              <w:t>Dorna</w:t>
            </w:r>
            <w:proofErr w:type="spellEnd"/>
          </w:p>
          <w:p w14:paraId="21882107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CAMS</w:t>
            </w:r>
          </w:p>
          <w:p w14:paraId="7E67CBA0" w14:textId="77777777" w:rsidR="008B0EC7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FIA</w:t>
            </w:r>
          </w:p>
          <w:p w14:paraId="2390B254" w14:textId="18BFEA36" w:rsidR="001C60B3" w:rsidRPr="008B0EC7" w:rsidRDefault="008B0EC7" w:rsidP="008B0EC7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FOM</w:t>
            </w:r>
          </w:p>
        </w:tc>
      </w:tr>
    </w:tbl>
    <w:p w14:paraId="42C839B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3FC3643E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5E987F3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Human Rights</w:t>
            </w:r>
          </w:p>
        </w:tc>
        <w:tc>
          <w:tcPr>
            <w:tcW w:w="5783" w:type="dxa"/>
          </w:tcPr>
          <w:p w14:paraId="1A1EE799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1FF0BEB" w14:textId="2B74A0A4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2894975C" w14:textId="734C0BC1" w:rsidR="007865B4" w:rsidRPr="008B0EC7" w:rsidRDefault="008B0EC7" w:rsidP="008B0EC7">
            <w:pPr>
              <w:suppressAutoHyphens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The objective of this role is to develop and manage the Australian Grand Prix Corporation’s corporate affairs and communications strategy including PR, motorsport, stakeholder engagement, media relations and special events.</w:t>
            </w:r>
          </w:p>
          <w:p w14:paraId="677F73C5" w14:textId="77777777" w:rsidR="001C60B3" w:rsidRPr="008B0EC7" w:rsidRDefault="001C60B3" w:rsidP="001C60B3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3CC00BDE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 xml:space="preserve">Lead and implement a </w:t>
            </w:r>
            <w:proofErr w:type="gramStart"/>
            <w:r w:rsidRPr="008B0EC7">
              <w:rPr>
                <w:rFonts w:ascii="Century Gothic" w:hAnsi="Century Gothic"/>
                <w:sz w:val="20"/>
              </w:rPr>
              <w:t>year round</w:t>
            </w:r>
            <w:proofErr w:type="gramEnd"/>
            <w:r w:rsidRPr="008B0EC7">
              <w:rPr>
                <w:rFonts w:ascii="Century Gothic" w:hAnsi="Century Gothic"/>
                <w:sz w:val="20"/>
              </w:rPr>
              <w:t xml:space="preserve"> PR and communications strategy for the Australian Formula 1 Grand Prix and the Australian Motorcycle Grand Prix.</w:t>
            </w:r>
          </w:p>
          <w:p w14:paraId="2E941D0A" w14:textId="77777777" w:rsidR="008B0EC7" w:rsidRPr="008B0EC7" w:rsidRDefault="008B0EC7" w:rsidP="008B0EC7">
            <w:pPr>
              <w:spacing w:line="256" w:lineRule="auto"/>
              <w:ind w:left="720"/>
              <w:jc w:val="both"/>
              <w:rPr>
                <w:rFonts w:ascii="Century Gothic" w:hAnsi="Century Gothic"/>
                <w:sz w:val="20"/>
              </w:rPr>
            </w:pPr>
          </w:p>
          <w:p w14:paraId="032AD6DD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 xml:space="preserve">Drive a proactive media strategy along with managing company media enquiries; develop and enhance relationships with key media and industry contacts.  </w:t>
            </w:r>
          </w:p>
          <w:p w14:paraId="1D8181AD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0C5895D5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 xml:space="preserve">Develop all internal and external communications - a wide variety of media materials including press releases, statements, website and speaking notes. </w:t>
            </w:r>
          </w:p>
          <w:p w14:paraId="3D78B78A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5B25F496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Help develop stakeholder engagement strategy.</w:t>
            </w:r>
          </w:p>
          <w:p w14:paraId="5A24F4F5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56D64C5F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Liaising with and briefing the company’s PR agency for all motorsport related activities.</w:t>
            </w:r>
          </w:p>
          <w:p w14:paraId="763CAB87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108D6424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Management of the editorial content of both Official Programs from flat plans to artistic direction.</w:t>
            </w:r>
          </w:p>
          <w:p w14:paraId="1B476391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1CC364C8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Management of media events including launches, show car runs and motorsport related announcements.</w:t>
            </w:r>
          </w:p>
          <w:p w14:paraId="0EFDFB7D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40A5B20B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Management, content planning, production and release of the AGPC’s podcast and newsletter for both events.</w:t>
            </w:r>
          </w:p>
          <w:p w14:paraId="2FAC1C59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78C85FB1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Developing strategy for motorsport ambassador program.  This includes acquisition, management and liaison.</w:t>
            </w:r>
          </w:p>
          <w:p w14:paraId="3A0BEF94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76F2D85B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Liaison with team press officers for implementation of driver/rider PR opportunities in the lead-up to and during each event.</w:t>
            </w:r>
          </w:p>
          <w:p w14:paraId="5D6301DC" w14:textId="77777777" w:rsidR="008B0EC7" w:rsidRPr="008B0EC7" w:rsidRDefault="008B0EC7" w:rsidP="008B0EC7">
            <w:pPr>
              <w:pStyle w:val="ListParagraph"/>
              <w:jc w:val="both"/>
              <w:rPr>
                <w:rFonts w:ascii="Century Gothic" w:hAnsi="Century Gothic"/>
                <w:sz w:val="20"/>
              </w:rPr>
            </w:pPr>
          </w:p>
          <w:p w14:paraId="3A4B36DB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lastRenderedPageBreak/>
              <w:t>Liaison with support categories and off-track motorsport related entertainment (</w:t>
            </w:r>
            <w:proofErr w:type="spellStart"/>
            <w:r w:rsidRPr="008B0EC7">
              <w:rPr>
                <w:rFonts w:ascii="Century Gothic" w:hAnsi="Century Gothic"/>
                <w:sz w:val="20"/>
              </w:rPr>
              <w:t>ie</w:t>
            </w:r>
            <w:proofErr w:type="spellEnd"/>
            <w:r w:rsidRPr="008B0EC7">
              <w:rPr>
                <w:rFonts w:ascii="Century Gothic" w:hAnsi="Century Gothic"/>
                <w:sz w:val="20"/>
              </w:rPr>
              <w:t xml:space="preserve"> Supercross and Crusty Demons) to drive additional event PR.</w:t>
            </w:r>
          </w:p>
          <w:p w14:paraId="7284328B" w14:textId="77777777" w:rsidR="008B0EC7" w:rsidRPr="008B0EC7" w:rsidRDefault="008B0EC7" w:rsidP="008B0EC7">
            <w:pPr>
              <w:pStyle w:val="ListParagraph"/>
              <w:ind w:left="0"/>
              <w:jc w:val="both"/>
              <w:rPr>
                <w:rFonts w:ascii="Century Gothic" w:hAnsi="Century Gothic"/>
                <w:sz w:val="20"/>
              </w:rPr>
            </w:pPr>
          </w:p>
          <w:p w14:paraId="5493E72C" w14:textId="77777777" w:rsidR="008B0EC7" w:rsidRPr="008B0EC7" w:rsidRDefault="008B0EC7" w:rsidP="008B0EC7">
            <w:pPr>
              <w:numPr>
                <w:ilvl w:val="0"/>
                <w:numId w:val="23"/>
              </w:numPr>
              <w:spacing w:line="256" w:lineRule="auto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Assist with PR/Media budget management.</w:t>
            </w:r>
          </w:p>
          <w:p w14:paraId="49185362" w14:textId="77777777" w:rsidR="008B0EC7" w:rsidRPr="008B0EC7" w:rsidRDefault="008B0EC7" w:rsidP="008B0EC7">
            <w:pPr>
              <w:spacing w:line="256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75C6F552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35C970E5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7C6ECA77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encouraging free dialogue.</w:t>
            </w:r>
          </w:p>
          <w:p w14:paraId="436F0DAD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50371F41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7865B4" w:rsidRPr="008B0EC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 w:rsidRPr="008B0EC7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8B0EC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Pr="008B0EC7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A</w:t>
            </w:r>
            <w:r w:rsidR="007865B4" w:rsidRPr="008B0EC7">
              <w:rPr>
                <w:rFonts w:ascii="Century Gothic" w:hAnsi="Century Gothic"/>
                <w:sz w:val="20"/>
              </w:rPr>
              <w:t>ctive</w:t>
            </w:r>
            <w:r w:rsidRPr="008B0EC7">
              <w:rPr>
                <w:rFonts w:ascii="Century Gothic" w:hAnsi="Century Gothic"/>
                <w:sz w:val="20"/>
              </w:rPr>
              <w:t>ly</w:t>
            </w:r>
            <w:r w:rsidR="007865B4" w:rsidRPr="008B0EC7">
              <w:rPr>
                <w:rFonts w:ascii="Century Gothic" w:hAnsi="Century Gothic"/>
                <w:sz w:val="20"/>
              </w:rPr>
              <w:t xml:space="preserve"> participat</w:t>
            </w:r>
            <w:r w:rsidRPr="008B0EC7">
              <w:rPr>
                <w:rFonts w:ascii="Century Gothic" w:hAnsi="Century Gothic"/>
                <w:sz w:val="20"/>
              </w:rPr>
              <w:t>e</w:t>
            </w:r>
            <w:r w:rsidR="007865B4" w:rsidRPr="008B0EC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Pr="008B0EC7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Pr="008B0EC7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8B0EC7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>A</w:t>
            </w:r>
            <w:r w:rsidR="007865B4" w:rsidRPr="008B0EC7">
              <w:rPr>
                <w:rFonts w:ascii="Century Gothic" w:hAnsi="Century Gothic"/>
                <w:sz w:val="20"/>
              </w:rPr>
              <w:t>dher</w:t>
            </w:r>
            <w:r w:rsidRPr="008B0EC7">
              <w:rPr>
                <w:rFonts w:ascii="Century Gothic" w:hAnsi="Century Gothic"/>
                <w:sz w:val="20"/>
              </w:rPr>
              <w:t>e</w:t>
            </w:r>
            <w:r w:rsidR="007865B4" w:rsidRPr="008B0EC7">
              <w:rPr>
                <w:rFonts w:ascii="Century Gothic" w:hAnsi="Century Gothic"/>
                <w:sz w:val="20"/>
              </w:rPr>
              <w:t xml:space="preserve"> to the </w:t>
            </w:r>
            <w:r w:rsidRPr="008B0EC7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8B0EC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Pr="008B0EC7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 w:rsidRPr="008B0EC7">
              <w:rPr>
                <w:rFonts w:ascii="Century Gothic" w:hAnsi="Century Gothic"/>
                <w:sz w:val="20"/>
              </w:rPr>
              <w:t>Corporation’s</w:t>
            </w:r>
            <w:r w:rsidRPr="008B0EC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Pr="008B0EC7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Pr="008B0EC7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To enable </w:t>
            </w:r>
            <w:r w:rsidR="001055B5" w:rsidRPr="008B0EC7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Pr="008B0EC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7865B4" w:rsidRPr="008B0EC7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 w:rsidRPr="008B0EC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8B0EC7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  <w:p w14:paraId="1F4805CB" w14:textId="77777777" w:rsidR="007865B4" w:rsidRPr="008B0EC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77777777" w:rsidR="007865B4" w:rsidRPr="008B0EC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8B0EC7">
              <w:rPr>
                <w:rFonts w:ascii="Century Gothic" w:hAnsi="Century Gothic"/>
                <w:sz w:val="20"/>
              </w:rPr>
              <w:t xml:space="preserve">Cooperate with </w:t>
            </w:r>
            <w:r w:rsidR="001055B5" w:rsidRPr="008B0EC7">
              <w:rPr>
                <w:rFonts w:ascii="Century Gothic" w:hAnsi="Century Gothic"/>
                <w:sz w:val="20"/>
              </w:rPr>
              <w:t xml:space="preserve">the Corporation </w:t>
            </w:r>
            <w:r w:rsidRPr="008B0EC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 w:rsidRPr="008B0EC7">
              <w:rPr>
                <w:rFonts w:ascii="Century Gothic" w:hAnsi="Century Gothic"/>
                <w:sz w:val="20"/>
              </w:rPr>
              <w:t>Corporation’s</w:t>
            </w:r>
            <w:r w:rsidRPr="008B0EC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5700E798" w14:textId="77777777" w:rsidR="007865B4" w:rsidRPr="008B0EC7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43B0C38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8507CE3" w14:textId="72FB3D89" w:rsidR="001B0637" w:rsidRPr="0055252C" w:rsidRDefault="001B0637" w:rsidP="0055252C">
      <w:pPr>
        <w:rPr>
          <w:rFonts w:ascii="Century Gothic" w:hAnsi="Century Gothic"/>
          <w:sz w:val="20"/>
        </w:rPr>
      </w:pPr>
    </w:p>
    <w:p w14:paraId="02D3E151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2763773E" w14:textId="77777777" w:rsidR="00894469" w:rsidRPr="00080E77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7AB20D57" w14:textId="77777777" w:rsidR="008B0EC7" w:rsidRPr="008B0EC7" w:rsidRDefault="008B0EC7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/>
                <w:spacing w:val="-3"/>
                <w:sz w:val="20"/>
              </w:rPr>
              <w:t>Degree qualified in Communications or Journalism</w:t>
            </w:r>
          </w:p>
          <w:p w14:paraId="7922C6E0" w14:textId="1515A6F0" w:rsidR="00663BB0" w:rsidRPr="008B0EC7" w:rsidRDefault="008B0EC7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 w:cs="Arial"/>
                <w:sz w:val="20"/>
              </w:rPr>
              <w:t xml:space="preserve">Minimum of five </w:t>
            </w:r>
            <w:proofErr w:type="spellStart"/>
            <w:r w:rsidRPr="008B0EC7">
              <w:rPr>
                <w:rFonts w:ascii="Century Gothic" w:hAnsi="Century Gothic" w:cs="Arial"/>
                <w:sz w:val="20"/>
              </w:rPr>
              <w:t>years experience</w:t>
            </w:r>
            <w:proofErr w:type="spellEnd"/>
            <w:r w:rsidRPr="008B0EC7">
              <w:rPr>
                <w:rFonts w:ascii="Century Gothic" w:hAnsi="Century Gothic" w:cs="Arial"/>
                <w:sz w:val="20"/>
              </w:rPr>
              <w:t xml:space="preserve"> with government, corporate affairs, media relations and/or media management experience</w:t>
            </w:r>
          </w:p>
          <w:p w14:paraId="7ED29DFE" w14:textId="77777777" w:rsidR="008B0EC7" w:rsidRPr="008B0EC7" w:rsidRDefault="008B0EC7" w:rsidP="00D74E2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 w:cs="Arial"/>
                <w:sz w:val="20"/>
              </w:rPr>
              <w:t>Excellent written and oral communication skills</w:t>
            </w: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1377404" w14:textId="71041C9F" w:rsidR="00663BB0" w:rsidRPr="008B0EC7" w:rsidRDefault="008B0EC7" w:rsidP="00D74E2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 w:cs="Arial"/>
                <w:sz w:val="20"/>
              </w:rPr>
              <w:t>Project/event management experience</w:t>
            </w:r>
            <w:r w:rsidRPr="008B0EC7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5CAE9A3" w14:textId="05AF9056" w:rsidR="008B0EC7" w:rsidRPr="008B0EC7" w:rsidRDefault="008B0EC7" w:rsidP="00D74E2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 w:cs="Arial"/>
                <w:sz w:val="20"/>
              </w:rPr>
              <w:t>Existing motorsport knowledge, passion and/or contacts</w:t>
            </w:r>
          </w:p>
          <w:p w14:paraId="3B40E332" w14:textId="4995231D" w:rsidR="008B0EC7" w:rsidRPr="008B0EC7" w:rsidRDefault="008B0EC7" w:rsidP="00D74E2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8B0EC7">
              <w:rPr>
                <w:rFonts w:ascii="Century Gothic" w:hAnsi="Century Gothic" w:cs="Arial"/>
                <w:sz w:val="20"/>
              </w:rPr>
              <w:t>Excellent computer skills including a demonstrated of Microsoft Office programs</w:t>
            </w:r>
          </w:p>
          <w:p w14:paraId="576AA321" w14:textId="77777777" w:rsidR="00663BB0" w:rsidRPr="00080E77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A2107D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24EE56FA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proofErr w:type="spellStart"/>
            <w:r w:rsidRPr="00693FC8">
              <w:rPr>
                <w:rFonts w:ascii="Century Gothic" w:hAnsi="Century Gothic"/>
                <w:spacing w:val="-3"/>
                <w:sz w:val="20"/>
              </w:rPr>
              <w:t>customers</w:t>
            </w:r>
            <w:proofErr w:type="spellEnd"/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741FEF69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08307893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5A95EFDC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06875741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112B01D4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10B21156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3CDD" w14:textId="77777777" w:rsidR="00880D33" w:rsidRDefault="00880D33">
      <w:r>
        <w:separator/>
      </w:r>
    </w:p>
  </w:endnote>
  <w:endnote w:type="continuationSeparator" w:id="0">
    <w:p w14:paraId="4BD938ED" w14:textId="77777777" w:rsidR="00880D33" w:rsidRDefault="008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12A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663BB0">
      <w:rPr>
        <w:rStyle w:val="PageNumber"/>
        <w:rFonts w:ascii="Century Gothic" w:hAnsi="Century Gothic"/>
        <w:noProof/>
        <w:sz w:val="20"/>
      </w:rPr>
      <w:t>4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B105" w14:textId="77777777" w:rsidR="00880D33" w:rsidRDefault="00880D33">
      <w:r>
        <w:separator/>
      </w:r>
    </w:p>
  </w:footnote>
  <w:footnote w:type="continuationSeparator" w:id="0">
    <w:p w14:paraId="0BED76EC" w14:textId="77777777" w:rsidR="00880D33" w:rsidRDefault="008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85B"/>
    <w:multiLevelType w:val="hybridMultilevel"/>
    <w:tmpl w:val="3D5E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3"/>
  </w:num>
  <w:num w:numId="10">
    <w:abstractNumId w:val="4"/>
  </w:num>
  <w:num w:numId="11">
    <w:abstractNumId w:val="17"/>
  </w:num>
  <w:num w:numId="12">
    <w:abstractNumId w:val="1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3"/>
  </w:num>
  <w:num w:numId="18">
    <w:abstractNumId w:val="22"/>
  </w:num>
  <w:num w:numId="19">
    <w:abstractNumId w:val="12"/>
  </w:num>
  <w:num w:numId="20">
    <w:abstractNumId w:val="14"/>
  </w:num>
  <w:num w:numId="21">
    <w:abstractNumId w:val="8"/>
  </w:num>
  <w:num w:numId="22">
    <w:abstractNumId w:val="21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1055B5"/>
    <w:rsid w:val="001164D1"/>
    <w:rsid w:val="00121F9B"/>
    <w:rsid w:val="0013323A"/>
    <w:rsid w:val="001574A6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21F8F"/>
    <w:rsid w:val="0022487E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3310CE"/>
    <w:rsid w:val="003464B7"/>
    <w:rsid w:val="00353B7F"/>
    <w:rsid w:val="00372286"/>
    <w:rsid w:val="003767B0"/>
    <w:rsid w:val="00381F4E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608F"/>
    <w:rsid w:val="004E758F"/>
    <w:rsid w:val="004F342A"/>
    <w:rsid w:val="00511934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201A9"/>
    <w:rsid w:val="00663BB0"/>
    <w:rsid w:val="006670F1"/>
    <w:rsid w:val="00682D3B"/>
    <w:rsid w:val="00693FC8"/>
    <w:rsid w:val="00696746"/>
    <w:rsid w:val="00697541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52C45"/>
    <w:rsid w:val="008614B0"/>
    <w:rsid w:val="00862C01"/>
    <w:rsid w:val="0087681D"/>
    <w:rsid w:val="00880D33"/>
    <w:rsid w:val="00894469"/>
    <w:rsid w:val="008A14F7"/>
    <w:rsid w:val="008A3D78"/>
    <w:rsid w:val="008B0EC7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209C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2DE1"/>
    <w:rsid w:val="00D96C13"/>
    <w:rsid w:val="00DB18CF"/>
    <w:rsid w:val="00DB4EDE"/>
    <w:rsid w:val="00DC3358"/>
    <w:rsid w:val="00DC4CE5"/>
    <w:rsid w:val="00DC70C4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C2C0B"/>
    <w:rsid w:val="00EC5BA0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60096"/>
    <w:rsid w:val="00F76CC2"/>
    <w:rsid w:val="00F826F2"/>
    <w:rsid w:val="00F83815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53A3-EB6D-46FA-927B-EF227FD4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Lex Cran</cp:lastModifiedBy>
  <cp:revision>3</cp:revision>
  <cp:lastPrinted>2007-02-20T05:17:00Z</cp:lastPrinted>
  <dcterms:created xsi:type="dcterms:W3CDTF">2018-12-29T06:17:00Z</dcterms:created>
  <dcterms:modified xsi:type="dcterms:W3CDTF">2018-12-29T06:27:00Z</dcterms:modified>
</cp:coreProperties>
</file>