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71" w:rsidRPr="00643948" w:rsidRDefault="00321471" w:rsidP="00321471">
      <w:pPr>
        <w:jc w:val="center"/>
        <w:rPr>
          <w:rFonts w:ascii="Calibri" w:hAnsi="Calibri" w:cs="Calibri"/>
          <w:i/>
          <w:sz w:val="23"/>
          <w:szCs w:val="23"/>
        </w:rPr>
      </w:pPr>
      <w:r w:rsidRPr="00EB3FE2">
        <w:rPr>
          <w:rFonts w:ascii="Calibri" w:hAnsi="Calibri" w:cs="Calibri"/>
          <w:sz w:val="32"/>
        </w:rPr>
        <w:br/>
      </w:r>
      <w:r w:rsidRPr="00EB3FE2">
        <w:rPr>
          <w:rFonts w:ascii="Calibri" w:hAnsi="Calibri" w:cs="Calibri"/>
          <w:i/>
          <w:sz w:val="32"/>
        </w:rPr>
        <w:t>Name</w:t>
      </w:r>
      <w:proofErr w:type="gramStart"/>
      <w:r w:rsidRPr="00EB3FE2">
        <w:rPr>
          <w:rFonts w:ascii="Calibri" w:hAnsi="Calibri" w:cs="Calibri"/>
          <w:i/>
          <w:sz w:val="32"/>
        </w:rPr>
        <w:t>:</w:t>
      </w:r>
      <w:r>
        <w:rPr>
          <w:rFonts w:ascii="Calibri" w:hAnsi="Calibri" w:cs="Calibri"/>
          <w:i/>
          <w:sz w:val="23"/>
          <w:szCs w:val="23"/>
        </w:rPr>
        <w:t>_</w:t>
      </w:r>
      <w:proofErr w:type="gramEnd"/>
      <w:r>
        <w:rPr>
          <w:rFonts w:ascii="Calibri" w:hAnsi="Calibri" w:cs="Calibri"/>
          <w:i/>
          <w:sz w:val="23"/>
          <w:szCs w:val="23"/>
        </w:rPr>
        <w:t>_______________________________</w:t>
      </w:r>
      <w:r w:rsidRPr="00EB3FE2">
        <w:rPr>
          <w:rFonts w:ascii="Calibri" w:hAnsi="Calibri" w:cs="Calibri"/>
          <w:i/>
          <w:sz w:val="23"/>
          <w:szCs w:val="23"/>
        </w:rPr>
        <w:br/>
      </w:r>
    </w:p>
    <w:p w:rsidR="00321471" w:rsidRPr="00643948" w:rsidRDefault="00321471" w:rsidP="00321471">
      <w:pPr>
        <w:jc w:val="center"/>
        <w:rPr>
          <w:rFonts w:ascii="Calibri" w:hAnsi="Calibri" w:cs="Calibri"/>
          <w:sz w:val="23"/>
          <w:szCs w:val="23"/>
        </w:rPr>
      </w:pPr>
      <w:r w:rsidRPr="00643948">
        <w:rPr>
          <w:rFonts w:ascii="Calibri" w:hAnsi="Calibri" w:cs="Calibri"/>
          <w:i/>
          <w:sz w:val="23"/>
          <w:szCs w:val="23"/>
        </w:rPr>
        <w:t>Please address the criteria listed below to outlin</w:t>
      </w:r>
      <w:bookmarkStart w:id="0" w:name="_GoBack"/>
      <w:bookmarkEnd w:id="0"/>
      <w:r w:rsidRPr="00643948">
        <w:rPr>
          <w:rFonts w:ascii="Calibri" w:hAnsi="Calibri" w:cs="Calibri"/>
          <w:i/>
          <w:sz w:val="23"/>
          <w:szCs w:val="23"/>
        </w:rPr>
        <w:t xml:space="preserve">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321471" w:rsidRPr="00643948" w:rsidRDefault="00321471" w:rsidP="00321471">
      <w:pPr>
        <w:pStyle w:val="MessageHeaderFirst"/>
        <w:jc w:val="center"/>
        <w:rPr>
          <w:rFonts w:ascii="Century Schoolbook" w:hAnsi="Century Schoolbook"/>
          <w:b/>
          <w:bCs/>
          <w:spacing w:val="-25"/>
          <w:sz w:val="28"/>
        </w:rPr>
      </w:pPr>
      <w:r>
        <w:rPr>
          <w:rFonts w:ascii="Century Schoolbook" w:hAnsi="Century Schoolbook"/>
          <w:b/>
          <w:bCs/>
          <w:noProof/>
          <w:spacing w:val="-25"/>
          <w:sz w:val="28"/>
          <w:lang w:eastAsia="en-AU"/>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157480</wp:posOffset>
                </wp:positionV>
                <wp:extent cx="7263130" cy="635"/>
                <wp:effectExtent l="25400" t="24765" r="26670" b="222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130"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7BCB18" id="_x0000_t32" coordsize="21600,21600" o:spt="32" o:oned="t" path="m,l21600,21600e" filled="f">
                <v:path arrowok="t" fillok="f" o:connecttype="none"/>
                <o:lock v:ext="edit" shapetype="t"/>
              </v:shapetype>
              <v:shape id="Straight Arrow Connector 1" o:spid="_x0000_s1026" type="#_x0000_t32" style="position:absolute;margin-left:-24.25pt;margin-top:12.4pt;width:571.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" strokecolor="#f2f2f2" strokeweight="3pt">
                <v:shadow color="#7f7f7f" opacity=".5" offset="1pt"/>
              </v:shape>
            </w:pict>
          </mc:Fallback>
        </mc:AlternateContent>
      </w:r>
    </w:p>
    <w:p w:rsidR="00321471" w:rsidRDefault="00321471" w:rsidP="00321471">
      <w:pPr>
        <w:pStyle w:val="Default"/>
        <w:rPr>
          <w:rFonts w:cstheme="minorBidi"/>
          <w:color w:val="auto"/>
        </w:rPr>
      </w:pPr>
    </w:p>
    <w:p w:rsidR="00321471" w:rsidRDefault="00321471" w:rsidP="00321471">
      <w:pPr>
        <w:pStyle w:val="Default"/>
        <w:rPr>
          <w:sz w:val="22"/>
          <w:szCs w:val="22"/>
        </w:rPr>
      </w:pPr>
    </w:p>
    <w:p w:rsidR="00321471" w:rsidRPr="00A36676" w:rsidRDefault="00321471" w:rsidP="00321471">
      <w:pPr>
        <w:numPr>
          <w:ilvl w:val="0"/>
          <w:numId w:val="2"/>
        </w:numPr>
        <w:spacing w:before="60" w:after="60"/>
        <w:jc w:val="both"/>
        <w:rPr>
          <w:rFonts w:asciiTheme="minorHAnsi" w:hAnsiTheme="minorHAnsi" w:cs="Arial"/>
          <w:bCs/>
          <w:spacing w:val="-3"/>
          <w:szCs w:val="20"/>
        </w:rPr>
      </w:pPr>
      <w:r w:rsidRPr="0086279A">
        <w:rPr>
          <w:rFonts w:asciiTheme="minorHAnsi" w:hAnsiTheme="minorHAnsi"/>
          <w:spacing w:val="-3"/>
          <w:szCs w:val="20"/>
        </w:rPr>
        <w:t>Demonstrated commitment to working collaboratively with and highly developed capacity to negotiate and liaise with DHHS, other agencies and the community.</w:t>
      </w:r>
    </w:p>
    <w:p w:rsidR="00321471" w:rsidRDefault="00321471" w:rsidP="00321471">
      <w:pPr>
        <w:spacing w:before="60" w:after="60"/>
        <w:jc w:val="both"/>
        <w:rPr>
          <w:rFonts w:asciiTheme="minorHAnsi" w:hAnsiTheme="minorHAnsi"/>
          <w:spacing w:val="-3"/>
          <w:szCs w:val="20"/>
        </w:rPr>
      </w:pPr>
    </w:p>
    <w:p w:rsidR="00321471" w:rsidRDefault="00321471" w:rsidP="00321471">
      <w:pPr>
        <w:spacing w:before="60" w:after="60"/>
        <w:jc w:val="both"/>
        <w:rPr>
          <w:rFonts w:asciiTheme="minorHAnsi" w:hAnsiTheme="minorHAnsi"/>
          <w:spacing w:val="-3"/>
          <w:szCs w:val="20"/>
        </w:rPr>
      </w:pPr>
    </w:p>
    <w:p w:rsidR="00321471" w:rsidRDefault="00321471" w:rsidP="00321471">
      <w:pPr>
        <w:spacing w:before="60" w:after="60"/>
        <w:jc w:val="both"/>
        <w:rPr>
          <w:rFonts w:asciiTheme="minorHAnsi" w:hAnsiTheme="minorHAnsi"/>
          <w:spacing w:val="-3"/>
          <w:szCs w:val="20"/>
        </w:rPr>
      </w:pPr>
    </w:p>
    <w:p w:rsidR="00321471" w:rsidRDefault="00321471" w:rsidP="00321471">
      <w:pPr>
        <w:spacing w:before="60" w:after="60"/>
        <w:jc w:val="both"/>
        <w:rPr>
          <w:rFonts w:asciiTheme="minorHAnsi" w:hAnsiTheme="minorHAnsi"/>
          <w:spacing w:val="-3"/>
          <w:szCs w:val="20"/>
        </w:rPr>
      </w:pPr>
    </w:p>
    <w:p w:rsidR="00321471" w:rsidRDefault="00321471" w:rsidP="00321471">
      <w:pPr>
        <w:spacing w:before="60" w:after="60"/>
        <w:jc w:val="both"/>
        <w:rPr>
          <w:rFonts w:asciiTheme="minorHAnsi" w:hAnsiTheme="minorHAnsi"/>
          <w:spacing w:val="-3"/>
          <w:szCs w:val="20"/>
        </w:rPr>
      </w:pPr>
    </w:p>
    <w:p w:rsidR="00321471" w:rsidRPr="0086279A" w:rsidRDefault="00321471" w:rsidP="00321471">
      <w:pPr>
        <w:spacing w:before="60" w:after="60"/>
        <w:jc w:val="both"/>
        <w:rPr>
          <w:rFonts w:asciiTheme="minorHAnsi" w:hAnsiTheme="minorHAnsi" w:cs="Arial"/>
          <w:bCs/>
          <w:spacing w:val="-3"/>
          <w:szCs w:val="20"/>
        </w:rPr>
      </w:pPr>
    </w:p>
    <w:p w:rsidR="00321471" w:rsidRDefault="00321471" w:rsidP="00321471">
      <w:pPr>
        <w:numPr>
          <w:ilvl w:val="0"/>
          <w:numId w:val="2"/>
        </w:numPr>
        <w:tabs>
          <w:tab w:val="left" w:pos="-720"/>
        </w:tabs>
        <w:suppressAutoHyphens/>
        <w:spacing w:before="60" w:after="60"/>
        <w:jc w:val="both"/>
        <w:rPr>
          <w:rFonts w:asciiTheme="minorHAnsi" w:hAnsiTheme="minorHAnsi"/>
          <w:spacing w:val="-3"/>
          <w:szCs w:val="20"/>
        </w:rPr>
      </w:pPr>
      <w:r w:rsidRPr="0086279A">
        <w:rPr>
          <w:rFonts w:asciiTheme="minorHAnsi" w:hAnsiTheme="minorHAnsi"/>
          <w:spacing w:val="-3"/>
          <w:szCs w:val="20"/>
        </w:rPr>
        <w:t>Demonstrated ability to provide high quality, innovative direct service in the clinical assessment and treatment of children, young people and families including highly developed skills in brief assessment, diagnosis and case formulation with recommendations for intervention.</w:t>
      </w:r>
    </w:p>
    <w:p w:rsidR="00321471" w:rsidRDefault="00321471" w:rsidP="00321471">
      <w:pPr>
        <w:tabs>
          <w:tab w:val="left" w:pos="-720"/>
        </w:tabs>
        <w:suppressAutoHyphens/>
        <w:spacing w:before="60" w:after="60"/>
        <w:jc w:val="both"/>
        <w:rPr>
          <w:rFonts w:asciiTheme="minorHAnsi" w:hAnsiTheme="minorHAnsi"/>
          <w:spacing w:val="-3"/>
          <w:szCs w:val="20"/>
        </w:rPr>
      </w:pPr>
    </w:p>
    <w:p w:rsidR="00321471" w:rsidRDefault="00321471" w:rsidP="00321471">
      <w:pPr>
        <w:tabs>
          <w:tab w:val="left" w:pos="-720"/>
        </w:tabs>
        <w:suppressAutoHyphens/>
        <w:spacing w:before="60" w:after="60"/>
        <w:jc w:val="both"/>
        <w:rPr>
          <w:rFonts w:asciiTheme="minorHAnsi" w:hAnsiTheme="minorHAnsi"/>
          <w:spacing w:val="-3"/>
          <w:szCs w:val="20"/>
        </w:rPr>
      </w:pPr>
    </w:p>
    <w:p w:rsidR="00321471" w:rsidRDefault="00321471" w:rsidP="00321471">
      <w:pPr>
        <w:tabs>
          <w:tab w:val="left" w:pos="-720"/>
        </w:tabs>
        <w:suppressAutoHyphens/>
        <w:spacing w:before="60" w:after="60"/>
        <w:jc w:val="both"/>
        <w:rPr>
          <w:rFonts w:asciiTheme="minorHAnsi" w:hAnsiTheme="minorHAnsi"/>
          <w:spacing w:val="-3"/>
          <w:szCs w:val="20"/>
        </w:rPr>
      </w:pPr>
    </w:p>
    <w:p w:rsidR="00321471" w:rsidRDefault="00321471" w:rsidP="00321471">
      <w:pPr>
        <w:tabs>
          <w:tab w:val="left" w:pos="-720"/>
        </w:tabs>
        <w:suppressAutoHyphens/>
        <w:spacing w:before="60" w:after="60"/>
        <w:jc w:val="both"/>
        <w:rPr>
          <w:rFonts w:asciiTheme="minorHAnsi" w:hAnsiTheme="minorHAnsi"/>
          <w:spacing w:val="-3"/>
          <w:szCs w:val="20"/>
        </w:rPr>
      </w:pPr>
    </w:p>
    <w:p w:rsidR="00321471" w:rsidRPr="0086279A" w:rsidRDefault="00321471" w:rsidP="00321471">
      <w:pPr>
        <w:tabs>
          <w:tab w:val="left" w:pos="-720"/>
        </w:tabs>
        <w:suppressAutoHyphens/>
        <w:spacing w:before="60" w:after="60"/>
        <w:jc w:val="both"/>
        <w:rPr>
          <w:rFonts w:asciiTheme="minorHAnsi" w:hAnsiTheme="minorHAnsi"/>
          <w:spacing w:val="-3"/>
          <w:szCs w:val="20"/>
        </w:rPr>
      </w:pPr>
    </w:p>
    <w:p w:rsidR="00321471" w:rsidRDefault="00321471" w:rsidP="00321471">
      <w:pPr>
        <w:numPr>
          <w:ilvl w:val="0"/>
          <w:numId w:val="2"/>
        </w:numPr>
        <w:tabs>
          <w:tab w:val="left" w:pos="-720"/>
        </w:tabs>
        <w:suppressAutoHyphens/>
        <w:spacing w:before="60" w:after="60"/>
        <w:jc w:val="both"/>
        <w:rPr>
          <w:rFonts w:asciiTheme="minorHAnsi" w:hAnsiTheme="minorHAnsi"/>
          <w:spacing w:val="-3"/>
          <w:szCs w:val="20"/>
        </w:rPr>
      </w:pPr>
      <w:r w:rsidRPr="0086279A">
        <w:rPr>
          <w:rFonts w:asciiTheme="minorHAnsi" w:hAnsiTheme="minorHAnsi"/>
          <w:spacing w:val="-3"/>
          <w:szCs w:val="20"/>
        </w:rPr>
        <w:t xml:space="preserve">Demonstrated expertise in working in a range of creative ways and settings with statutory clients who have challenging and complex needs. </w:t>
      </w:r>
    </w:p>
    <w:p w:rsidR="00321471" w:rsidRDefault="00321471" w:rsidP="00321471">
      <w:pPr>
        <w:tabs>
          <w:tab w:val="left" w:pos="-720"/>
          <w:tab w:val="left" w:pos="0"/>
        </w:tabs>
        <w:suppressAutoHyphens/>
        <w:rPr>
          <w:rFonts w:asciiTheme="minorHAnsi" w:hAnsiTheme="minorHAnsi"/>
          <w:spacing w:val="-3"/>
          <w:szCs w:val="20"/>
        </w:rPr>
      </w:pPr>
    </w:p>
    <w:p w:rsidR="00321471" w:rsidRDefault="00321471" w:rsidP="00321471">
      <w:pPr>
        <w:tabs>
          <w:tab w:val="left" w:pos="-720"/>
          <w:tab w:val="left" w:pos="0"/>
        </w:tabs>
        <w:suppressAutoHyphens/>
        <w:rPr>
          <w:rFonts w:asciiTheme="minorHAnsi" w:hAnsiTheme="minorHAnsi"/>
          <w:spacing w:val="-3"/>
          <w:szCs w:val="20"/>
        </w:rPr>
      </w:pPr>
    </w:p>
    <w:p w:rsidR="00321471" w:rsidRDefault="00321471" w:rsidP="00321471">
      <w:pPr>
        <w:tabs>
          <w:tab w:val="left" w:pos="-720"/>
          <w:tab w:val="left" w:pos="0"/>
        </w:tabs>
        <w:suppressAutoHyphens/>
        <w:rPr>
          <w:rFonts w:asciiTheme="minorHAnsi" w:hAnsiTheme="minorHAnsi"/>
          <w:spacing w:val="-3"/>
          <w:szCs w:val="20"/>
        </w:rPr>
      </w:pPr>
    </w:p>
    <w:p w:rsidR="00321471" w:rsidRDefault="00321471" w:rsidP="00321471">
      <w:pPr>
        <w:tabs>
          <w:tab w:val="left" w:pos="-720"/>
          <w:tab w:val="left" w:pos="0"/>
        </w:tabs>
        <w:suppressAutoHyphens/>
        <w:rPr>
          <w:rFonts w:asciiTheme="minorHAnsi" w:hAnsiTheme="minorHAnsi"/>
          <w:spacing w:val="-3"/>
          <w:szCs w:val="20"/>
        </w:rPr>
      </w:pPr>
    </w:p>
    <w:p w:rsidR="00321471" w:rsidRPr="00A36676" w:rsidRDefault="00321471" w:rsidP="00321471">
      <w:pPr>
        <w:tabs>
          <w:tab w:val="left" w:pos="-720"/>
          <w:tab w:val="left" w:pos="0"/>
        </w:tabs>
        <w:suppressAutoHyphens/>
        <w:rPr>
          <w:rFonts w:asciiTheme="minorHAnsi" w:hAnsiTheme="minorHAnsi"/>
          <w:spacing w:val="-3"/>
          <w:szCs w:val="20"/>
        </w:rPr>
      </w:pPr>
    </w:p>
    <w:p w:rsidR="00321471" w:rsidRPr="00A36676" w:rsidRDefault="00321471" w:rsidP="00321471">
      <w:pPr>
        <w:numPr>
          <w:ilvl w:val="0"/>
          <w:numId w:val="2"/>
        </w:numPr>
        <w:spacing w:before="60" w:after="60"/>
        <w:jc w:val="both"/>
        <w:rPr>
          <w:rFonts w:ascii="Calibri" w:hAnsi="Calibri"/>
          <w:szCs w:val="22"/>
        </w:rPr>
      </w:pPr>
      <w:r w:rsidRPr="0086279A">
        <w:rPr>
          <w:rFonts w:asciiTheme="minorHAnsi" w:hAnsiTheme="minorHAnsi" w:cs="Arial"/>
          <w:bCs/>
          <w:spacing w:val="-3"/>
          <w:szCs w:val="20"/>
        </w:rPr>
        <w:t xml:space="preserve">Experience in and ability to provide direct service in clinical assessment and treatment of children including </w:t>
      </w:r>
      <w:r w:rsidRPr="0086279A">
        <w:rPr>
          <w:rFonts w:asciiTheme="minorHAnsi" w:hAnsiTheme="minorHAnsi"/>
          <w:szCs w:val="20"/>
        </w:rPr>
        <w:t>triage and mental health risk assessment, and advice on behaviour support plans.</w:t>
      </w:r>
    </w:p>
    <w:p w:rsidR="00321471" w:rsidRDefault="00321471" w:rsidP="00321471">
      <w:pPr>
        <w:spacing w:before="60" w:after="60"/>
        <w:jc w:val="both"/>
        <w:rPr>
          <w:rFonts w:asciiTheme="minorHAnsi" w:hAnsiTheme="minorHAnsi"/>
          <w:szCs w:val="20"/>
        </w:rPr>
      </w:pPr>
    </w:p>
    <w:p w:rsidR="00321471" w:rsidRDefault="00321471" w:rsidP="00321471">
      <w:pPr>
        <w:spacing w:before="60" w:after="60"/>
        <w:jc w:val="both"/>
        <w:rPr>
          <w:rFonts w:asciiTheme="minorHAnsi" w:hAnsiTheme="minorHAnsi"/>
          <w:szCs w:val="20"/>
        </w:rPr>
      </w:pPr>
    </w:p>
    <w:p w:rsidR="00321471" w:rsidRDefault="00321471" w:rsidP="00321471">
      <w:pPr>
        <w:numPr>
          <w:ilvl w:val="0"/>
          <w:numId w:val="2"/>
        </w:numPr>
        <w:tabs>
          <w:tab w:val="left" w:pos="-720"/>
          <w:tab w:val="left" w:pos="0"/>
        </w:tabs>
        <w:suppressAutoHyphens/>
        <w:spacing w:before="60" w:after="60"/>
        <w:jc w:val="both"/>
        <w:rPr>
          <w:rFonts w:asciiTheme="minorHAnsi" w:hAnsiTheme="minorHAnsi"/>
          <w:spacing w:val="-3"/>
          <w:szCs w:val="20"/>
        </w:rPr>
      </w:pPr>
      <w:r w:rsidRPr="0086279A">
        <w:rPr>
          <w:rFonts w:asciiTheme="minorHAnsi" w:hAnsiTheme="minorHAnsi"/>
          <w:szCs w:val="20"/>
        </w:rPr>
        <w:t>Demonstrated ability to provide training and psychoeducation.</w:t>
      </w:r>
    </w:p>
    <w:p w:rsidR="00321471" w:rsidRDefault="00321471" w:rsidP="00321471">
      <w:pPr>
        <w:spacing w:before="60" w:after="60"/>
        <w:jc w:val="both"/>
        <w:rPr>
          <w:rFonts w:asciiTheme="minorHAnsi" w:hAnsiTheme="minorHAnsi"/>
          <w:szCs w:val="20"/>
        </w:rPr>
      </w:pPr>
    </w:p>
    <w:p w:rsidR="00321471" w:rsidRDefault="00321471" w:rsidP="00321471">
      <w:pPr>
        <w:spacing w:before="60" w:after="60"/>
        <w:jc w:val="both"/>
        <w:rPr>
          <w:rFonts w:asciiTheme="minorHAnsi" w:hAnsiTheme="minorHAnsi"/>
          <w:szCs w:val="20"/>
        </w:rPr>
      </w:pPr>
    </w:p>
    <w:p w:rsidR="00321471" w:rsidRDefault="00321471" w:rsidP="00321471">
      <w:pPr>
        <w:spacing w:before="60" w:after="60"/>
        <w:jc w:val="both"/>
        <w:rPr>
          <w:rFonts w:asciiTheme="minorHAnsi" w:hAnsiTheme="minorHAnsi"/>
          <w:szCs w:val="20"/>
        </w:rPr>
      </w:pPr>
    </w:p>
    <w:p w:rsidR="00321471" w:rsidRPr="00D76879" w:rsidRDefault="00321471" w:rsidP="00321471">
      <w:pPr>
        <w:spacing w:before="60" w:after="60"/>
        <w:jc w:val="both"/>
        <w:rPr>
          <w:rFonts w:ascii="Calibri" w:hAnsi="Calibri"/>
          <w:szCs w:val="22"/>
        </w:rPr>
      </w:pPr>
    </w:p>
    <w:p w:rsidR="00321471" w:rsidRDefault="00321471" w:rsidP="00321471">
      <w:pPr>
        <w:numPr>
          <w:ilvl w:val="0"/>
          <w:numId w:val="2"/>
        </w:numPr>
        <w:tabs>
          <w:tab w:val="left" w:pos="-720"/>
          <w:tab w:val="left" w:pos="0"/>
        </w:tabs>
        <w:suppressAutoHyphens/>
        <w:spacing w:before="60" w:after="60"/>
        <w:jc w:val="both"/>
        <w:rPr>
          <w:rFonts w:ascii="Calibri" w:hAnsi="Calibri"/>
          <w:szCs w:val="22"/>
        </w:rPr>
      </w:pPr>
      <w:r w:rsidRPr="00D76879">
        <w:rPr>
          <w:rFonts w:asciiTheme="minorHAnsi" w:hAnsiTheme="minorHAnsi"/>
          <w:spacing w:val="-3"/>
          <w:szCs w:val="20"/>
        </w:rPr>
        <w:t>A sophisticated understanding of the complexity of the service system and the issues involved in providing services to statutory clients.</w:t>
      </w:r>
      <w:r w:rsidRPr="00D76879">
        <w:rPr>
          <w:rFonts w:ascii="Calibri" w:hAnsi="Calibri"/>
          <w:szCs w:val="22"/>
        </w:rPr>
        <w:t xml:space="preserve"> </w:t>
      </w:r>
    </w:p>
    <w:p w:rsidR="00321471" w:rsidRDefault="00321471" w:rsidP="00321471">
      <w:pPr>
        <w:tabs>
          <w:tab w:val="left" w:pos="-720"/>
          <w:tab w:val="left" w:pos="0"/>
        </w:tabs>
        <w:suppressAutoHyphens/>
        <w:spacing w:before="60" w:after="60"/>
        <w:jc w:val="both"/>
        <w:rPr>
          <w:rFonts w:ascii="Calibri" w:hAnsi="Calibri"/>
          <w:szCs w:val="22"/>
        </w:rPr>
      </w:pPr>
    </w:p>
    <w:p w:rsidR="00321471" w:rsidRDefault="00321471" w:rsidP="00321471">
      <w:pPr>
        <w:tabs>
          <w:tab w:val="left" w:pos="-720"/>
          <w:tab w:val="left" w:pos="0"/>
        </w:tabs>
        <w:suppressAutoHyphens/>
        <w:spacing w:before="60" w:after="60"/>
        <w:jc w:val="both"/>
        <w:rPr>
          <w:rFonts w:ascii="Calibri" w:hAnsi="Calibri"/>
          <w:szCs w:val="22"/>
        </w:rPr>
      </w:pPr>
    </w:p>
    <w:p w:rsidR="00321471" w:rsidRDefault="00321471" w:rsidP="00321471">
      <w:pPr>
        <w:tabs>
          <w:tab w:val="left" w:pos="-720"/>
          <w:tab w:val="left" w:pos="0"/>
        </w:tabs>
        <w:suppressAutoHyphens/>
        <w:spacing w:before="60" w:after="60"/>
        <w:jc w:val="both"/>
        <w:rPr>
          <w:rFonts w:ascii="Calibri" w:hAnsi="Calibri"/>
          <w:szCs w:val="22"/>
        </w:rPr>
      </w:pPr>
    </w:p>
    <w:p w:rsidR="00321471" w:rsidRDefault="00321471" w:rsidP="00321471">
      <w:pPr>
        <w:tabs>
          <w:tab w:val="left" w:pos="-720"/>
          <w:tab w:val="left" w:pos="0"/>
        </w:tabs>
        <w:suppressAutoHyphens/>
        <w:spacing w:before="60" w:after="60"/>
        <w:jc w:val="both"/>
        <w:rPr>
          <w:rFonts w:ascii="Calibri" w:hAnsi="Calibri"/>
          <w:szCs w:val="22"/>
        </w:rPr>
      </w:pPr>
    </w:p>
    <w:p w:rsidR="00321471" w:rsidRPr="00D76879" w:rsidRDefault="00321471" w:rsidP="00321471">
      <w:pPr>
        <w:tabs>
          <w:tab w:val="left" w:pos="-720"/>
          <w:tab w:val="left" w:pos="0"/>
        </w:tabs>
        <w:suppressAutoHyphens/>
        <w:spacing w:before="60" w:after="60"/>
        <w:jc w:val="both"/>
        <w:rPr>
          <w:rFonts w:ascii="Calibri" w:hAnsi="Calibri"/>
          <w:szCs w:val="22"/>
        </w:rPr>
      </w:pPr>
    </w:p>
    <w:p w:rsidR="00321471" w:rsidRDefault="00321471" w:rsidP="00321471">
      <w:pPr>
        <w:numPr>
          <w:ilvl w:val="0"/>
          <w:numId w:val="2"/>
        </w:numPr>
        <w:tabs>
          <w:tab w:val="left" w:pos="-720"/>
        </w:tabs>
        <w:suppressAutoHyphens/>
        <w:spacing w:before="60" w:after="60"/>
        <w:jc w:val="both"/>
        <w:rPr>
          <w:rFonts w:asciiTheme="minorHAnsi" w:hAnsiTheme="minorHAnsi"/>
          <w:spacing w:val="-3"/>
          <w:szCs w:val="20"/>
        </w:rPr>
      </w:pPr>
      <w:r w:rsidRPr="00687215">
        <w:rPr>
          <w:rFonts w:asciiTheme="minorHAnsi" w:hAnsiTheme="minorHAnsi"/>
          <w:spacing w:val="-3"/>
          <w:szCs w:val="20"/>
        </w:rPr>
        <w:t>Demonstrated understanding of, and respect for, the needs of children with a disability; Aboriginal culture, including cultural safety and awareness; and cultural and linguistic diversity (CALD), including cultural safety for children from CALD backgrounds</w:t>
      </w:r>
    </w:p>
    <w:p w:rsidR="00321471" w:rsidRDefault="00321471" w:rsidP="00321471">
      <w:pPr>
        <w:pStyle w:val="Default"/>
        <w:rPr>
          <w:rFonts w:cstheme="minorBidi"/>
          <w:color w:val="auto"/>
        </w:rPr>
      </w:pPr>
    </w:p>
    <w:p w:rsidR="00321471" w:rsidRDefault="00321471" w:rsidP="00321471">
      <w:pPr>
        <w:pStyle w:val="Default"/>
        <w:rPr>
          <w:sz w:val="22"/>
          <w:szCs w:val="22"/>
        </w:rPr>
      </w:pPr>
      <w:r>
        <w:rPr>
          <w:sz w:val="22"/>
          <w:szCs w:val="22"/>
        </w:rPr>
        <w:t xml:space="preserve">. </w:t>
      </w:r>
    </w:p>
    <w:p w:rsidR="00321471" w:rsidRDefault="00321471" w:rsidP="00321471">
      <w:pPr>
        <w:pStyle w:val="Default"/>
        <w:rPr>
          <w:sz w:val="22"/>
          <w:szCs w:val="22"/>
        </w:rPr>
      </w:pPr>
    </w:p>
    <w:p w:rsidR="006F1D2F" w:rsidRDefault="006F1D2F"/>
    <w:sectPr w:rsidR="006F1D2F" w:rsidSect="00747923">
      <w:footerReference w:type="even" r:id="rId7"/>
      <w:footerReference w:type="default" r:id="rId8"/>
      <w:headerReference w:type="first" r:id="rId9"/>
      <w:footerReference w:type="first" r:id="rId10"/>
      <w:pgSz w:w="12240" w:h="15840" w:code="1"/>
      <w:pgMar w:top="1440" w:right="1440" w:bottom="1440" w:left="1440" w:header="720" w:footer="9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71" w:rsidRDefault="00321471" w:rsidP="00321471">
      <w:r>
        <w:separator/>
      </w:r>
    </w:p>
  </w:endnote>
  <w:endnote w:type="continuationSeparator" w:id="0">
    <w:p w:rsidR="00321471" w:rsidRDefault="00321471" w:rsidP="0032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83" w:rsidRDefault="0032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2383" w:rsidRDefault="00321471">
    <w:pPr>
      <w:pStyle w:val="Footer"/>
    </w:pPr>
  </w:p>
  <w:p w:rsidR="003A2383" w:rsidRDefault="003214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83" w:rsidRDefault="0032147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3A2383" w:rsidRDefault="003214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83" w:rsidRDefault="00321471">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71" w:rsidRDefault="00321471" w:rsidP="00321471">
      <w:r>
        <w:separator/>
      </w:r>
    </w:p>
  </w:footnote>
  <w:footnote w:type="continuationSeparator" w:id="0">
    <w:p w:rsidR="00321471" w:rsidRDefault="00321471" w:rsidP="0032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F4" w:rsidRDefault="00321471" w:rsidP="00CC75F4">
    <w:pPr>
      <w:jc w:val="right"/>
      <w:rPr>
        <w:rFonts w:ascii="Calibri" w:hAnsi="Calibri" w:cs="Calibri"/>
        <w:b/>
        <w:sz w:val="32"/>
      </w:rPr>
    </w:pPr>
    <w:r>
      <w:rPr>
        <w:rFonts w:ascii="Calibri" w:hAnsi="Calibri" w:cs="Calibri"/>
        <w:b/>
        <w:noProof/>
        <w:sz w:val="32"/>
        <w:lang w:eastAsia="en-AU"/>
      </w:rPr>
      <w:drawing>
        <wp:anchor distT="0" distB="0" distL="114300" distR="114300" simplePos="0" relativeHeight="251659264" behindDoc="0" locked="0" layoutInCell="1" allowOverlap="1">
          <wp:simplePos x="0" y="0"/>
          <wp:positionH relativeFrom="column">
            <wp:posOffset>-520065</wp:posOffset>
          </wp:positionH>
          <wp:positionV relativeFrom="paragraph">
            <wp:posOffset>-176530</wp:posOffset>
          </wp:positionV>
          <wp:extent cx="1219200" cy="723900"/>
          <wp:effectExtent l="0" t="0" r="0" b="0"/>
          <wp:wrapSquare wrapText="bothSides"/>
          <wp:docPr id="2" name="Picture 2" descr="berry_street_take_two_cmy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y_street_take_two_cmyk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321471" w:rsidRPr="00321471" w:rsidRDefault="00321471" w:rsidP="00321471">
    <w:pPr>
      <w:jc w:val="right"/>
      <w:rPr>
        <w:rFonts w:ascii="Calibri" w:hAnsi="Calibri" w:cs="Calibri"/>
        <w:sz w:val="32"/>
      </w:rPr>
    </w:pPr>
    <w:r w:rsidRPr="00321471">
      <w:rPr>
        <w:rFonts w:ascii="Calibri" w:hAnsi="Calibri" w:cs="Calibri"/>
        <w:sz w:val="32"/>
      </w:rPr>
      <w:t>Senior Clinician TRC &amp;</w:t>
    </w:r>
    <w:r w:rsidRPr="00321471">
      <w:rPr>
        <w:rFonts w:ascii="Calibri" w:hAnsi="Calibri" w:cs="Calibri"/>
        <w:sz w:val="32"/>
      </w:rPr>
      <w:t xml:space="preserve"> </w:t>
    </w:r>
    <w:r w:rsidRPr="00321471">
      <w:rPr>
        <w:rFonts w:ascii="Calibri" w:hAnsi="Calibri" w:cs="Calibri"/>
        <w:sz w:val="32"/>
      </w:rPr>
      <w:t>Regional Clinician</w:t>
    </w:r>
    <w:r>
      <w:rPr>
        <w:rFonts w:ascii="Calibri" w:hAnsi="Calibri" w:cs="Calibri"/>
        <w:sz w:val="32"/>
      </w:rPr>
      <w:t xml:space="preserve"> </w:t>
    </w:r>
  </w:p>
  <w:p w:rsidR="00E6285C" w:rsidRPr="00CC75F4" w:rsidRDefault="00321471" w:rsidP="00321471">
    <w:pPr>
      <w:jc w:val="right"/>
      <w:rPr>
        <w:rFonts w:ascii="Calibri" w:hAnsi="Calibri" w:cs="Calibri"/>
        <w:sz w:val="32"/>
      </w:rPr>
    </w:pPr>
    <w:r>
      <w:rPr>
        <w:rFonts w:ascii="Calibri" w:hAnsi="Calibri" w:cs="Calibri"/>
        <w:sz w:val="32"/>
      </w:rPr>
      <w:t>Take Two</w:t>
    </w:r>
    <w:r>
      <w:rPr>
        <w:rFonts w:ascii="Calibri" w:hAnsi="Calibri" w:cs="Calibri"/>
        <w:sz w:val="32"/>
      </w:rPr>
      <w:t xml:space="preserve"> - Hume</w:t>
    </w:r>
  </w:p>
  <w:p w:rsidR="00EB3FE2" w:rsidRPr="00EB3FE2" w:rsidRDefault="00321471" w:rsidP="00CC75F4">
    <w:pPr>
      <w:jc w:val="center"/>
    </w:pPr>
    <w:r>
      <w:rPr>
        <w:b/>
        <w:sz w:val="20"/>
        <w:szCs w:val="20"/>
      </w:rPr>
      <w:t xml:space="preserve">                             </w:t>
    </w:r>
    <w:r>
      <w:rPr>
        <w:rFonts w:ascii="Calibri" w:hAnsi="Calibri" w:cs="Calibri"/>
        <w:b/>
        <w:sz w:val="3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5406"/>
    <w:multiLevelType w:val="hybridMultilevel"/>
    <w:tmpl w:val="7E52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895688"/>
    <w:multiLevelType w:val="hybridMultilevel"/>
    <w:tmpl w:val="0D2C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71"/>
    <w:rsid w:val="00321471"/>
    <w:rsid w:val="006F1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5:chartTrackingRefBased/>
  <w15:docId w15:val="{9675B20D-4214-4BF1-96B6-9F813F98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1471"/>
    <w:pPr>
      <w:keepLines/>
      <w:tabs>
        <w:tab w:val="center" w:pos="4320"/>
        <w:tab w:val="right" w:pos="8640"/>
      </w:tabs>
      <w:spacing w:before="600" w:line="180" w:lineRule="atLeast"/>
      <w:ind w:left="835"/>
      <w:jc w:val="both"/>
    </w:pPr>
    <w:rPr>
      <w:rFonts w:ascii="Arial" w:hAnsi="Arial"/>
      <w:spacing w:val="-5"/>
      <w:sz w:val="18"/>
      <w:szCs w:val="20"/>
    </w:rPr>
  </w:style>
  <w:style w:type="character" w:customStyle="1" w:styleId="FooterChar">
    <w:name w:val="Footer Char"/>
    <w:basedOn w:val="DefaultParagraphFont"/>
    <w:link w:val="Footer"/>
    <w:rsid w:val="00321471"/>
    <w:rPr>
      <w:rFonts w:ascii="Arial" w:eastAsia="Times New Roman" w:hAnsi="Arial" w:cs="Times New Roman"/>
      <w:spacing w:val="-5"/>
      <w:sz w:val="18"/>
      <w:szCs w:val="20"/>
    </w:rPr>
  </w:style>
  <w:style w:type="paragraph" w:customStyle="1" w:styleId="MessageHeaderFirst">
    <w:name w:val="Message Header First"/>
    <w:basedOn w:val="MessageHeader"/>
    <w:next w:val="MessageHeader"/>
    <w:rsid w:val="0032147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styleId="PageNumber">
    <w:name w:val="page number"/>
    <w:rsid w:val="00321471"/>
    <w:rPr>
      <w:sz w:val="18"/>
    </w:rPr>
  </w:style>
  <w:style w:type="paragraph" w:styleId="MessageHeader">
    <w:name w:val="Message Header"/>
    <w:basedOn w:val="Normal"/>
    <w:link w:val="MessageHeaderChar"/>
    <w:uiPriority w:val="99"/>
    <w:semiHidden/>
    <w:unhideWhenUsed/>
    <w:rsid w:val="003214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21471"/>
    <w:rPr>
      <w:rFonts w:asciiTheme="majorHAnsi" w:eastAsiaTheme="majorEastAsia" w:hAnsiTheme="majorHAnsi" w:cstheme="majorBidi"/>
      <w:sz w:val="24"/>
      <w:szCs w:val="24"/>
      <w:shd w:val="pct20" w:color="auto" w:fill="auto"/>
    </w:rPr>
  </w:style>
  <w:style w:type="paragraph" w:customStyle="1" w:styleId="Default">
    <w:name w:val="Default"/>
    <w:rsid w:val="003214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21471"/>
    <w:pPr>
      <w:tabs>
        <w:tab w:val="center" w:pos="4513"/>
        <w:tab w:val="right" w:pos="9026"/>
      </w:tabs>
    </w:pPr>
  </w:style>
  <w:style w:type="character" w:customStyle="1" w:styleId="HeaderChar">
    <w:name w:val="Header Char"/>
    <w:basedOn w:val="DefaultParagraphFont"/>
    <w:link w:val="Header"/>
    <w:uiPriority w:val="99"/>
    <w:rsid w:val="003214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Nedanovska</dc:creator>
  <cp:keywords/>
  <dc:description/>
  <cp:lastModifiedBy>Julie Nedanovska</cp:lastModifiedBy>
  <cp:revision>1</cp:revision>
  <dcterms:created xsi:type="dcterms:W3CDTF">2018-02-14T02:27:00Z</dcterms:created>
  <dcterms:modified xsi:type="dcterms:W3CDTF">2018-02-14T02:33:00Z</dcterms:modified>
</cp:coreProperties>
</file>