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4D" w:rsidRPr="00643948" w:rsidRDefault="008C554D" w:rsidP="008C554D">
      <w:pPr>
        <w:jc w:val="center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sz w:val="32"/>
        </w:rPr>
        <w:br/>
      </w:r>
      <w:r w:rsidRPr="00EB3FE2">
        <w:rPr>
          <w:rFonts w:ascii="Calibri" w:hAnsi="Calibri" w:cs="Calibri"/>
          <w:i/>
          <w:sz w:val="32"/>
        </w:rPr>
        <w:t>Name</w:t>
      </w:r>
      <w:proofErr w:type="gramStart"/>
      <w:r w:rsidRPr="00EB3FE2">
        <w:rPr>
          <w:rFonts w:ascii="Calibri" w:hAnsi="Calibri" w:cs="Calibri"/>
          <w:i/>
          <w:sz w:val="32"/>
        </w:rPr>
        <w:t>:</w:t>
      </w:r>
      <w:r>
        <w:rPr>
          <w:rFonts w:ascii="Calibri" w:hAnsi="Calibri" w:cs="Calibri"/>
          <w:i/>
          <w:sz w:val="23"/>
          <w:szCs w:val="23"/>
        </w:rPr>
        <w:t>_</w:t>
      </w:r>
      <w:proofErr w:type="gramEnd"/>
      <w:r>
        <w:rPr>
          <w:rFonts w:ascii="Calibri" w:hAnsi="Calibri" w:cs="Calibri"/>
          <w:i/>
          <w:sz w:val="23"/>
          <w:szCs w:val="23"/>
        </w:rPr>
        <w:t>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8C554D" w:rsidRPr="00643948" w:rsidRDefault="008C554D" w:rsidP="008C554D">
      <w:pPr>
        <w:jc w:val="center"/>
        <w:rPr>
          <w:rFonts w:ascii="Calibri" w:hAnsi="Calibri" w:cs="Calibri"/>
          <w:sz w:val="23"/>
          <w:szCs w:val="23"/>
        </w:rPr>
      </w:pPr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8C554D" w:rsidRPr="008C554D" w:rsidRDefault="008C554D" w:rsidP="008C554D">
      <w:pPr>
        <w:pStyle w:val="MessageHeaderFirst"/>
        <w:jc w:val="center"/>
        <w:rPr>
          <w:rFonts w:asciiTheme="minorHAnsi" w:hAnsiTheme="minorHAnsi"/>
          <w:b/>
          <w:bCs/>
          <w:spacing w:val="-25"/>
          <w:sz w:val="22"/>
          <w:szCs w:val="22"/>
        </w:rPr>
      </w:pPr>
      <w:r>
        <w:rPr>
          <w:rFonts w:ascii="Century Schoolbook" w:hAnsi="Century Schoolbook"/>
          <w:b/>
          <w:bCs/>
          <w:noProof/>
          <w:spacing w:val="-25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157480</wp:posOffset>
                </wp:positionV>
                <wp:extent cx="7263130" cy="635"/>
                <wp:effectExtent l="25400" t="24765" r="26670" b="222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313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7C6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4.25pt;margin-top:12.4pt;width:571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" strokecolor="#f2f2f2" strokeweight="3pt">
                <v:shadow color="#7f7f7f" opacity=".5" offset="1pt"/>
              </v:shape>
            </w:pict>
          </mc:Fallback>
        </mc:AlternateContent>
      </w:r>
    </w:p>
    <w:p w:rsidR="008C554D" w:rsidRDefault="008C554D" w:rsidP="008C554D">
      <w:pPr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8C554D">
        <w:rPr>
          <w:rFonts w:asciiTheme="minorHAnsi" w:hAnsiTheme="minorHAnsi"/>
          <w:sz w:val="22"/>
          <w:szCs w:val="22"/>
        </w:rPr>
        <w:t>Demonstrated  expertise  of developmental trauma and the impact of family violence and trauma upon infants, children and parenting, and child-parent relationships</w:t>
      </w:r>
    </w:p>
    <w:p w:rsidR="008C554D" w:rsidRDefault="008C554D" w:rsidP="008C554D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</w:p>
    <w:p w:rsidR="008C554D" w:rsidRDefault="008C554D" w:rsidP="008C554D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</w:p>
    <w:p w:rsidR="008C554D" w:rsidRDefault="008C554D" w:rsidP="008C554D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</w:p>
    <w:p w:rsidR="008C554D" w:rsidRPr="008C554D" w:rsidRDefault="008C554D" w:rsidP="008C554D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</w:p>
    <w:p w:rsidR="008C554D" w:rsidRDefault="008C554D" w:rsidP="008C554D">
      <w:pPr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8C554D">
        <w:rPr>
          <w:rFonts w:asciiTheme="minorHAnsi" w:hAnsiTheme="minorHAnsi"/>
          <w:sz w:val="22"/>
          <w:szCs w:val="22"/>
        </w:rPr>
        <w:t>Demonstrated ability to provide direct service in the clinical assessment and treatment of infants, children, young people and families; including experience specifically in providing dyadic clinical interventions for children and parents together, and to comply with service delivery towards output and outcomes requirements</w:t>
      </w:r>
    </w:p>
    <w:p w:rsidR="008C554D" w:rsidRDefault="008C554D" w:rsidP="008C554D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</w:p>
    <w:p w:rsidR="008C554D" w:rsidRDefault="008C554D" w:rsidP="008C554D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</w:p>
    <w:p w:rsidR="008C554D" w:rsidRDefault="008C554D" w:rsidP="008C554D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</w:p>
    <w:p w:rsidR="008C554D" w:rsidRPr="008C554D" w:rsidRDefault="008C554D" w:rsidP="008C554D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</w:p>
    <w:p w:rsidR="008C554D" w:rsidRDefault="008C554D" w:rsidP="008C554D">
      <w:pPr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8C554D">
        <w:rPr>
          <w:rFonts w:asciiTheme="minorHAnsi" w:hAnsiTheme="minorHAnsi"/>
          <w:sz w:val="22"/>
          <w:szCs w:val="22"/>
        </w:rPr>
        <w:t>A strong  understanding of the complexity of the family violence and child protection and family violence service systems and the issues involved in providing services to clients</w:t>
      </w:r>
    </w:p>
    <w:p w:rsidR="008C554D" w:rsidRDefault="008C554D" w:rsidP="008C554D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</w:p>
    <w:p w:rsidR="008C554D" w:rsidRDefault="008C554D" w:rsidP="008C554D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</w:p>
    <w:p w:rsidR="008C554D" w:rsidRDefault="008C554D" w:rsidP="008C554D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</w:p>
    <w:p w:rsidR="008C554D" w:rsidRPr="008C554D" w:rsidRDefault="008C554D" w:rsidP="008C554D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</w:p>
    <w:p w:rsidR="008C554D" w:rsidRDefault="008C554D" w:rsidP="008C554D">
      <w:pPr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8C554D">
        <w:rPr>
          <w:rFonts w:asciiTheme="minorHAnsi" w:hAnsiTheme="minorHAnsi"/>
          <w:sz w:val="22"/>
          <w:szCs w:val="22"/>
        </w:rPr>
        <w:t>Ability to provide secondary consultation and advice to non-clinical staff, including parents, heath, education and statutory services</w:t>
      </w:r>
    </w:p>
    <w:p w:rsidR="008C554D" w:rsidRDefault="008C554D" w:rsidP="008C554D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</w:p>
    <w:p w:rsidR="008C554D" w:rsidRDefault="008C554D" w:rsidP="008C554D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</w:p>
    <w:p w:rsidR="008C554D" w:rsidRDefault="008C554D" w:rsidP="008C554D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</w:p>
    <w:p w:rsidR="008C554D" w:rsidRPr="008C554D" w:rsidRDefault="008C554D" w:rsidP="008C554D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</w:p>
    <w:p w:rsidR="008C554D" w:rsidRDefault="008C554D" w:rsidP="008C554D">
      <w:pPr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8C554D">
        <w:rPr>
          <w:rFonts w:asciiTheme="minorHAnsi" w:hAnsiTheme="minorHAnsi"/>
          <w:sz w:val="22"/>
          <w:szCs w:val="22"/>
        </w:rPr>
        <w:t>Demonstrated commitment to working collaboratively and the capacity to negotiate and liaise with other agencies and the community, including CSOs, statutory and justice services</w:t>
      </w:r>
    </w:p>
    <w:p w:rsidR="008C554D" w:rsidRDefault="008C554D" w:rsidP="008C554D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</w:p>
    <w:p w:rsidR="008C554D" w:rsidRDefault="008C554D" w:rsidP="008C554D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</w:p>
    <w:p w:rsidR="008C554D" w:rsidRDefault="008C554D" w:rsidP="008C554D">
      <w:pPr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8C554D">
        <w:rPr>
          <w:rFonts w:asciiTheme="minorHAnsi" w:hAnsiTheme="minorHAnsi"/>
          <w:sz w:val="22"/>
          <w:szCs w:val="22"/>
        </w:rPr>
        <w:lastRenderedPageBreak/>
        <w:t xml:space="preserve">Sound clinical skills in working with infants and parents and older children </w:t>
      </w:r>
    </w:p>
    <w:p w:rsidR="008C554D" w:rsidRDefault="008C554D" w:rsidP="008C554D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</w:p>
    <w:p w:rsidR="008C554D" w:rsidRDefault="008C554D" w:rsidP="008C554D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</w:p>
    <w:p w:rsidR="008C554D" w:rsidRDefault="008C554D" w:rsidP="008C554D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</w:p>
    <w:p w:rsidR="008C554D" w:rsidRPr="008C554D" w:rsidRDefault="008C554D" w:rsidP="008C554D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</w:p>
    <w:p w:rsidR="008C554D" w:rsidRDefault="008C554D" w:rsidP="008C554D">
      <w:pPr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8C554D">
        <w:rPr>
          <w:rFonts w:asciiTheme="minorHAnsi" w:hAnsiTheme="minorHAnsi"/>
          <w:sz w:val="22"/>
          <w:szCs w:val="22"/>
        </w:rPr>
        <w:t>Demonstrated understanding of, and respect for, the needs of children with a disability; Aboriginal culture, including cultural safety and awareness; and cultural and linguistic diversity (CALD), including cultural safety for children from CALD backgrounds</w:t>
      </w:r>
    </w:p>
    <w:p w:rsidR="008C554D" w:rsidRDefault="008C554D" w:rsidP="008C554D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</w:p>
    <w:p w:rsidR="008C554D" w:rsidRDefault="008C554D" w:rsidP="008C554D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</w:p>
    <w:p w:rsidR="008C554D" w:rsidRDefault="008C554D" w:rsidP="008C554D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</w:p>
    <w:p w:rsidR="008C554D" w:rsidRPr="008C554D" w:rsidRDefault="008C554D" w:rsidP="008C554D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</w:p>
    <w:p w:rsidR="008C554D" w:rsidRPr="008C554D" w:rsidRDefault="008C554D" w:rsidP="008C554D">
      <w:pPr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8C554D">
        <w:rPr>
          <w:rFonts w:asciiTheme="minorHAnsi" w:hAnsiTheme="minorHAnsi"/>
          <w:sz w:val="22"/>
          <w:szCs w:val="22"/>
        </w:rPr>
        <w:t>Demonstrated understanding of and commitment to the principles of equity, diversity, continual improvement, risk management and occupational health and safety.</w:t>
      </w:r>
    </w:p>
    <w:sectPr w:rsidR="008C554D" w:rsidRPr="008C554D" w:rsidSect="00747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96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54D" w:rsidRDefault="008C554D" w:rsidP="008C554D">
      <w:r>
        <w:separator/>
      </w:r>
    </w:p>
  </w:endnote>
  <w:endnote w:type="continuationSeparator" w:id="0">
    <w:p w:rsidR="008C554D" w:rsidRDefault="008C554D" w:rsidP="008C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83" w:rsidRDefault="008C55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2383" w:rsidRDefault="008C554D">
    <w:pPr>
      <w:pStyle w:val="Footer"/>
    </w:pPr>
  </w:p>
  <w:p w:rsidR="003A2383" w:rsidRDefault="008C55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83" w:rsidRDefault="008C554D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2383" w:rsidRDefault="008C554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83" w:rsidRDefault="008C554D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54D" w:rsidRDefault="008C554D" w:rsidP="008C554D">
      <w:r>
        <w:separator/>
      </w:r>
    </w:p>
  </w:footnote>
  <w:footnote w:type="continuationSeparator" w:id="0">
    <w:p w:rsidR="008C554D" w:rsidRDefault="008C554D" w:rsidP="008C5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4D" w:rsidRDefault="008C55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4D" w:rsidRDefault="008C55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F4" w:rsidRDefault="008C554D" w:rsidP="00CC75F4">
    <w:pPr>
      <w:jc w:val="right"/>
      <w:rPr>
        <w:rFonts w:ascii="Calibri" w:hAnsi="Calibri" w:cs="Calibri"/>
        <w:b/>
        <w:sz w:val="32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-264795</wp:posOffset>
          </wp:positionH>
          <wp:positionV relativeFrom="paragraph">
            <wp:posOffset>-172720</wp:posOffset>
          </wp:positionV>
          <wp:extent cx="1826895" cy="1212215"/>
          <wp:effectExtent l="0" t="0" r="1905" b="6985"/>
          <wp:wrapSquare wrapText="bothSides"/>
          <wp:docPr id="2" name="Picture 2" descr="Berry Street_Vert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ry Street_Vert [CMY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CC75F4" w:rsidRDefault="008C554D" w:rsidP="00CC75F4">
    <w:pPr>
      <w:jc w:val="right"/>
      <w:rPr>
        <w:rFonts w:ascii="Calibri" w:hAnsi="Calibri" w:cs="Calibri"/>
        <w:sz w:val="32"/>
      </w:rPr>
    </w:pPr>
    <w:bookmarkStart w:id="0" w:name="_GoBack"/>
    <w:r>
      <w:rPr>
        <w:rFonts w:ascii="Calibri" w:hAnsi="Calibri" w:cs="Calibri"/>
        <w:sz w:val="32"/>
      </w:rPr>
      <w:t xml:space="preserve">Clinician </w:t>
    </w:r>
  </w:p>
  <w:p w:rsidR="008C554D" w:rsidRPr="00CC75F4" w:rsidRDefault="008C554D" w:rsidP="00CC75F4">
    <w:pPr>
      <w:jc w:val="right"/>
      <w:rPr>
        <w:rFonts w:ascii="Calibri" w:hAnsi="Calibri" w:cs="Calibri"/>
        <w:sz w:val="32"/>
      </w:rPr>
    </w:pPr>
    <w:r>
      <w:rPr>
        <w:rFonts w:ascii="Calibri" w:hAnsi="Calibri" w:cs="Calibri"/>
        <w:sz w:val="32"/>
      </w:rPr>
      <w:t>Restoring Childhood</w:t>
    </w:r>
    <w:bookmarkEnd w:id="0"/>
    <w:r>
      <w:rPr>
        <w:rFonts w:ascii="Calibri" w:hAnsi="Calibri" w:cs="Calibri"/>
        <w:sz w:val="32"/>
      </w:rPr>
      <w:t xml:space="preserve"> – Western Region</w:t>
    </w:r>
  </w:p>
  <w:p w:rsidR="00EB3FE2" w:rsidRPr="00EB3FE2" w:rsidRDefault="008C554D" w:rsidP="00CC75F4">
    <w:pPr>
      <w:jc w:val="center"/>
    </w:pPr>
    <w:r>
      <w:rPr>
        <w:b/>
        <w:sz w:val="20"/>
        <w:szCs w:val="20"/>
      </w:rPr>
      <w:t xml:space="preserve">                             </w:t>
    </w:r>
    <w:r>
      <w:rPr>
        <w:rFonts w:ascii="Calibri" w:hAnsi="Calibri" w:cs="Calibri"/>
        <w:b/>
        <w:sz w:val="3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95688"/>
    <w:multiLevelType w:val="hybridMultilevel"/>
    <w:tmpl w:val="0D2C8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4D"/>
    <w:rsid w:val="006F1D2F"/>
    <w:rsid w:val="008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0D331C57-7DC1-46B1-9D74-CEC35CE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554D"/>
    <w:pPr>
      <w:keepLines/>
      <w:tabs>
        <w:tab w:val="center" w:pos="4320"/>
        <w:tab w:val="right" w:pos="8640"/>
      </w:tabs>
      <w:spacing w:before="600" w:line="180" w:lineRule="atLeast"/>
      <w:ind w:left="835"/>
      <w:jc w:val="both"/>
    </w:pPr>
    <w:rPr>
      <w:rFonts w:ascii="Arial" w:hAnsi="Arial"/>
      <w:spacing w:val="-5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8C554D"/>
    <w:rPr>
      <w:rFonts w:ascii="Arial" w:eastAsia="Times New Roman" w:hAnsi="Arial" w:cs="Times New Roman"/>
      <w:spacing w:val="-5"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8C5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PageNumber">
    <w:name w:val="page number"/>
    <w:rsid w:val="008C554D"/>
    <w:rPr>
      <w:sz w:val="18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55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55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Header">
    <w:name w:val="header"/>
    <w:basedOn w:val="Normal"/>
    <w:link w:val="HeaderChar"/>
    <w:uiPriority w:val="99"/>
    <w:unhideWhenUsed/>
    <w:rsid w:val="008C5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5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Nedanovska</dc:creator>
  <cp:keywords/>
  <dc:description/>
  <cp:lastModifiedBy>Julie Nedanovska</cp:lastModifiedBy>
  <cp:revision>1</cp:revision>
  <dcterms:created xsi:type="dcterms:W3CDTF">2018-04-13T02:01:00Z</dcterms:created>
  <dcterms:modified xsi:type="dcterms:W3CDTF">2018-04-13T02:03:00Z</dcterms:modified>
</cp:coreProperties>
</file>