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D440D8" w:rsidRP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Strong understanding of the issues for children coming into care and their families and of the statutory Child Protection system.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D440D8" w:rsidRP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trike/>
          <w:szCs w:val="22"/>
        </w:rPr>
      </w:pPr>
      <w:r>
        <w:rPr>
          <w:rFonts w:ascii="Calibri" w:hAnsi="Calibri"/>
          <w:szCs w:val="22"/>
        </w:rPr>
        <w:t>Demonstrated ability to case manage complex needs and issues for clients, families and an ability to advocate for client needs and best interests.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trike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Knowledge and experience of current theoretical approaches &amp; frameworks for working with highly vulnerable children, young people and their families, including </w:t>
      </w:r>
      <w:proofErr w:type="gramStart"/>
      <w:r>
        <w:rPr>
          <w:rFonts w:ascii="Calibri" w:hAnsi="Calibri"/>
          <w:szCs w:val="22"/>
        </w:rPr>
        <w:t>strengths based</w:t>
      </w:r>
      <w:proofErr w:type="gramEnd"/>
      <w:r>
        <w:rPr>
          <w:rFonts w:ascii="Calibri" w:hAnsi="Calibri"/>
          <w:szCs w:val="22"/>
        </w:rPr>
        <w:t xml:space="preserve"> approaches.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strong capacity to engage and work flexibly and creatively with families in a non-judgemental approach.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Awareness of the issues related to working in cross cultural human services with knowledge of the issues facing culturally and linguistically diverse communities.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Understanding of issues related to working with volunteers.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spacing w:before="60" w:after="60"/>
        <w:jc w:val="both"/>
        <w:rPr>
          <w:rFonts w:ascii="Calibri" w:hAnsi="Calibri"/>
          <w:szCs w:val="22"/>
        </w:rPr>
      </w:pPr>
    </w:p>
    <w:p w:rsidR="00D440D8" w:rsidRDefault="00D440D8" w:rsidP="00D440D8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D440D8" w:rsidRPr="00D440D8" w:rsidRDefault="00D440D8" w:rsidP="00D440D8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D440D8" w:rsidRPr="00D440D8" w:rsidRDefault="00D440D8" w:rsidP="00D440D8">
      <w:p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</w:p>
    <w:p w:rsidR="000D7993" w:rsidRPr="00D440D8" w:rsidRDefault="00D440D8" w:rsidP="00D440D8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D440D8">
        <w:rPr>
          <w:rFonts w:asciiTheme="minorHAnsi" w:hAnsiTheme="minorHAnsi" w:cstheme="minorHAnsi"/>
        </w:rPr>
        <w:t>Demonstrated ability to flexibly manage competing priorities and stressful situations, monitoring own stress levels and practicing and promoting self-care strategies</w:t>
      </w:r>
    </w:p>
    <w:sectPr w:rsidR="000D7993" w:rsidRPr="00D44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D8" w:rsidRDefault="00D44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D8" w:rsidRDefault="00D44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D8" w:rsidRDefault="00D4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D8" w:rsidRDefault="00D44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D440D8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Case Manager - </w:t>
    </w:r>
    <w:r>
      <w:rPr>
        <w:rFonts w:ascii="Calibri" w:hAnsi="Calibri"/>
        <w:sz w:val="32"/>
        <w:szCs w:val="32"/>
      </w:rPr>
      <w:t>HBC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D8" w:rsidRDefault="00D4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D440D8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B184AB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2019-01-14T06:12:00Z</dcterms:created>
  <dcterms:modified xsi:type="dcterms:W3CDTF">2019-01-14T06:12:00Z</dcterms:modified>
</cp:coreProperties>
</file>