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requirement. (Please refer to expectations under assessment and treatment).</w:t>
      </w:r>
    </w:p>
    <w:p w:rsidR="00BC5FFC" w:rsidRDefault="00BC5FFC" w:rsidP="00BC5FFC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Demonstrated commitment to working collaboratively and the capacity to listen and consider others’ opinions, respectfully and tactfully negotiate and liaise with DHHS, o</w:t>
      </w:r>
      <w:r>
        <w:rPr>
          <w:rFonts w:ascii="Calibri" w:hAnsi="Calibri"/>
          <w:szCs w:val="22"/>
        </w:rPr>
        <w:t>ther agencies and the community.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Sound decision making skills, reflected in excellent clinical judgements.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A high degree of self-discipline, reflected in the ability to provide targeted clinical services within strict time-frames.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Willingness to coach and develop others, impart knowledge and provide supervision to clinicians in accordance with Berry Streets policy.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BC5FFC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0D7993" w:rsidRDefault="00BC5FFC" w:rsidP="00BC5FFC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C5FFC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BC5FFC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Clinician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415666"/>
    <w:rsid w:val="00513119"/>
    <w:rsid w:val="006F6977"/>
    <w:rsid w:val="00BC5FFC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8BB949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2019-01-19T01:24:00Z</dcterms:created>
  <dcterms:modified xsi:type="dcterms:W3CDTF">2019-01-19T01:25:00Z</dcterms:modified>
</cp:coreProperties>
</file>