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C537C" w:rsidRPr="000C537C" w:rsidRDefault="000C537C" w:rsidP="000C537C">
      <w:pPr>
        <w:pStyle w:val="ListParagraph"/>
        <w:numPr>
          <w:ilvl w:val="0"/>
          <w:numId w:val="2"/>
        </w:numPr>
        <w:spacing w:after="60"/>
        <w:ind w:left="720"/>
        <w:contextualSpacing w:val="0"/>
        <w:jc w:val="both"/>
        <w:rPr>
          <w:rFonts w:asciiTheme="minorHAnsi" w:hAnsiTheme="minorHAnsi" w:cstheme="minorHAnsi"/>
          <w:sz w:val="18"/>
          <w:szCs w:val="22"/>
          <w:lang w:eastAsia="en-AU"/>
        </w:rPr>
      </w:pPr>
      <w:bookmarkStart w:id="1" w:name="Text49"/>
      <w:r w:rsidRPr="000C537C">
        <w:rPr>
          <w:rFonts w:asciiTheme="minorHAnsi" w:hAnsiTheme="minorHAnsi" w:cstheme="minorHAnsi"/>
          <w:sz w:val="20"/>
          <w:lang w:eastAsia="en-AU"/>
        </w:rPr>
        <w:t xml:space="preserve">Demonstrated experience </w:t>
      </w:r>
      <w:r w:rsidRPr="000C537C">
        <w:rPr>
          <w:rFonts w:asciiTheme="minorHAnsi" w:hAnsiTheme="minorHAnsi" w:cstheme="minorHAnsi"/>
          <w:sz w:val="20"/>
          <w:lang w:val="en" w:eastAsia="en-AU"/>
        </w:rPr>
        <w:t>designing and implementing risk management systems and business continuity plans</w:t>
      </w:r>
      <w:r w:rsidRPr="000C537C">
        <w:rPr>
          <w:rFonts w:asciiTheme="minorHAnsi" w:hAnsiTheme="minorHAnsi" w:cstheme="minorHAnsi"/>
          <w:sz w:val="20"/>
          <w:lang w:eastAsia="en-AU"/>
        </w:rPr>
        <w:t xml:space="preserve"> preferably within the community sector and not-for-profits</w:t>
      </w:r>
    </w:p>
    <w:p w:rsidR="000C537C" w:rsidRPr="000C537C" w:rsidRDefault="000C537C" w:rsidP="000C537C">
      <w:pPr>
        <w:spacing w:after="60"/>
        <w:jc w:val="both"/>
        <w:rPr>
          <w:rFonts w:asciiTheme="minorHAnsi" w:hAnsiTheme="minorHAnsi" w:cstheme="minorHAnsi"/>
          <w:sz w:val="18"/>
          <w:szCs w:val="22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val="en" w:eastAsia="en-AU"/>
        </w:rPr>
        <w:t>Strong commitment to risk management, ability to derive new ideas and use innovative thinking to drive forward risk management and ability to show initiative and deliver to deadlines</w:t>
      </w:r>
    </w:p>
    <w:p w:rsidR="000C537C" w:rsidRPr="000C537C" w:rsidRDefault="000C537C" w:rsidP="000C537C">
      <w:pPr>
        <w:pStyle w:val="ListParagrap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spacing w:after="60"/>
        <w:jc w:val="both"/>
        <w:rPr>
          <w:rFonts w:asciiTheme="minorHAnsi" w:hAnsiTheme="minorHAnsi" w:cstheme="minorHAnsi"/>
          <w:sz w:val="20"/>
          <w:lang w:eastAsia="en-AU"/>
        </w:rPr>
      </w:pPr>
    </w:p>
    <w:bookmarkEnd w:id="1"/>
    <w:p w:rsidR="000C537C" w:rsidRPr="000C537C" w:rsidRDefault="000C537C" w:rsidP="000C537C">
      <w:pPr>
        <w:pStyle w:val="ListParagraph"/>
        <w:numPr>
          <w:ilvl w:val="0"/>
          <w:numId w:val="2"/>
        </w:numPr>
        <w:spacing w:before="60"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eastAsia="en-AU"/>
        </w:rPr>
        <w:t>Well-developed networking and relationship building skills, with the ability to gain commitment across the department and with key stakeholders.</w:t>
      </w:r>
    </w:p>
    <w:p w:rsidR="000C537C" w:rsidRPr="000C537C" w:rsidRDefault="000C537C" w:rsidP="000C537C">
      <w:pPr>
        <w:spacing w:before="60"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before="60"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eastAsia="en-AU"/>
        </w:rPr>
        <w:t>Excellent presentation skills including the ability to communicate in a clear, logical and succinct manner.</w:t>
      </w:r>
    </w:p>
    <w:p w:rsidR="000C537C" w:rsidRPr="000C537C" w:rsidRDefault="000C537C" w:rsidP="000C537C">
      <w:pPr>
        <w:pStyle w:val="ListParagrap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spacing w:before="60"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before="60"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val="en" w:eastAsia="en-AU"/>
        </w:rPr>
        <w:t>Excellent communication skills, stakeholder management skills and your ability to educate, influence and challenge stakeholders</w:t>
      </w:r>
      <w:r w:rsidRPr="000C537C">
        <w:rPr>
          <w:rFonts w:asciiTheme="minorHAnsi" w:hAnsiTheme="minorHAnsi" w:cstheme="minorHAnsi"/>
          <w:sz w:val="20"/>
          <w:lang w:eastAsia="en-AU"/>
        </w:rPr>
        <w:t>.</w:t>
      </w:r>
    </w:p>
    <w:p w:rsidR="000C537C" w:rsidRPr="000C537C" w:rsidRDefault="000C537C" w:rsidP="000C537C">
      <w:pPr>
        <w:spacing w:before="60"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before="60"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eastAsia="en-AU"/>
        </w:rPr>
        <w:t>Proven organisational skills with the ability to prioritise and manage own workload to meet timeframes and job-related expectations.</w:t>
      </w:r>
    </w:p>
    <w:p w:rsidR="000C537C" w:rsidRPr="000C537C" w:rsidRDefault="000C537C" w:rsidP="000C537C">
      <w:pPr>
        <w:pStyle w:val="ListParagrap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spacing w:before="60"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before="60"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eastAsia="en-AU"/>
        </w:rPr>
        <w:t>Good problem solving, decision making and solid negotiation skills to achieve effective relationships and outcomes.</w:t>
      </w:r>
    </w:p>
    <w:p w:rsidR="000C537C" w:rsidRPr="000C537C" w:rsidRDefault="000C537C" w:rsidP="000C537C">
      <w:pPr>
        <w:spacing w:before="60"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before="60"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eastAsia="en-AU"/>
        </w:rPr>
        <w:t xml:space="preserve">Solid analytical, reasoning and </w:t>
      </w:r>
      <w:proofErr w:type="gramStart"/>
      <w:r w:rsidRPr="000C537C">
        <w:rPr>
          <w:rFonts w:asciiTheme="minorHAnsi" w:hAnsiTheme="minorHAnsi" w:cstheme="minorHAnsi"/>
          <w:sz w:val="20"/>
          <w:lang w:eastAsia="en-AU"/>
        </w:rPr>
        <w:t>decision making</w:t>
      </w:r>
      <w:proofErr w:type="gramEnd"/>
      <w:r w:rsidRPr="000C537C">
        <w:rPr>
          <w:rFonts w:asciiTheme="minorHAnsi" w:hAnsiTheme="minorHAnsi" w:cstheme="minorHAnsi"/>
          <w:sz w:val="20"/>
          <w:lang w:eastAsia="en-AU"/>
        </w:rPr>
        <w:t xml:space="preserve"> skills including solid numerical ability and strategic judgement.</w:t>
      </w:r>
    </w:p>
    <w:p w:rsidR="000C537C" w:rsidRPr="000C537C" w:rsidRDefault="000C537C" w:rsidP="000C537C">
      <w:pPr>
        <w:pStyle w:val="ListParagrap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spacing w:before="60"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before="60"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eastAsia="en-AU"/>
        </w:rPr>
        <w:t>Demonstrated understanding of and commitment to the principles of equity, diversity, continual improvement, risk management and occupational health and safety.</w:t>
      </w:r>
    </w:p>
    <w:p w:rsidR="000C537C" w:rsidRPr="000C537C" w:rsidRDefault="000C537C" w:rsidP="000C537C">
      <w:pPr>
        <w:spacing w:before="60"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eastAsia="en-AU"/>
        </w:rPr>
        <w:t>Demonstrated ability to flexibly manage competing priorities and stressful situations, monitoring own stress levels and practicing and promoting self-care strategies.</w:t>
      </w:r>
    </w:p>
    <w:p w:rsidR="000C537C" w:rsidRPr="000C537C" w:rsidRDefault="000C537C" w:rsidP="000C537C">
      <w:pPr>
        <w:pStyle w:val="ListParagrap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spacing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C537C" w:rsidRPr="000C537C" w:rsidRDefault="000C537C" w:rsidP="000C537C">
      <w:pPr>
        <w:pStyle w:val="ListParagraph"/>
        <w:numPr>
          <w:ilvl w:val="0"/>
          <w:numId w:val="2"/>
        </w:numPr>
        <w:spacing w:after="60"/>
        <w:ind w:left="720"/>
        <w:contextualSpacing w:val="0"/>
        <w:jc w:val="both"/>
        <w:rPr>
          <w:rFonts w:asciiTheme="minorHAnsi" w:hAnsiTheme="minorHAnsi" w:cstheme="minorHAnsi"/>
          <w:sz w:val="20"/>
          <w:lang w:eastAsia="en-AU"/>
        </w:rPr>
      </w:pPr>
      <w:r w:rsidRPr="000C537C">
        <w:rPr>
          <w:rFonts w:asciiTheme="minorHAnsi" w:hAnsiTheme="minorHAnsi" w:cstheme="minorHAnsi"/>
          <w:sz w:val="20"/>
          <w:lang w:eastAsia="en-AU"/>
        </w:rPr>
        <w:t>Experience in managing systems in complex legislative and regulatory environments</w:t>
      </w:r>
    </w:p>
    <w:p w:rsidR="000C537C" w:rsidRPr="000C537C" w:rsidRDefault="000C537C" w:rsidP="000C537C">
      <w:pPr>
        <w:spacing w:after="60"/>
        <w:jc w:val="both"/>
        <w:rPr>
          <w:rFonts w:asciiTheme="minorHAnsi" w:hAnsiTheme="minorHAnsi" w:cstheme="minorHAnsi"/>
          <w:sz w:val="20"/>
          <w:lang w:eastAsia="en-AU"/>
        </w:rPr>
      </w:pPr>
    </w:p>
    <w:p w:rsidR="000D7993" w:rsidRPr="000C537C" w:rsidRDefault="000C537C" w:rsidP="000C537C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 w:val="20"/>
          <w:szCs w:val="22"/>
        </w:rPr>
      </w:pPr>
      <w:r w:rsidRPr="000C537C">
        <w:rPr>
          <w:rFonts w:asciiTheme="minorHAnsi" w:hAnsiTheme="minorHAnsi" w:cstheme="minorHAnsi"/>
          <w:sz w:val="20"/>
          <w:lang w:eastAsia="en-AU"/>
        </w:rPr>
        <w:t>A sound understanding of statutory programs and DHHS service compliance</w:t>
      </w:r>
    </w:p>
    <w:sectPr w:rsidR="000D7993" w:rsidRPr="000C53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0C537C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Director Risk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C537C"/>
    <w:rsid w:val="000D7993"/>
    <w:rsid w:val="00513119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4B9D53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2019-02-04T06:31:00Z</dcterms:created>
  <dcterms:modified xsi:type="dcterms:W3CDTF">2019-02-04T06:31:00Z</dcterms:modified>
</cp:coreProperties>
</file>