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062A7A96" w:rsidR="004D197E" w:rsidRPr="00960104" w:rsidRDefault="00960104" w:rsidP="004D197E">
            <w:pPr>
              <w:spacing w:line="360" w:lineRule="auto"/>
              <w:rPr>
                <w:rFonts w:ascii="Arial" w:hAnsi="Arial" w:cs="Arial"/>
                <w:b/>
                <w:bCs/>
                <w:sz w:val="20"/>
                <w:szCs w:val="20"/>
              </w:rPr>
            </w:pPr>
            <w:r>
              <w:rPr>
                <w:rFonts w:ascii="Arial" w:hAnsi="Arial" w:cs="Arial"/>
                <w:b/>
                <w:bCs/>
                <w:sz w:val="20"/>
                <w:szCs w:val="20"/>
              </w:rPr>
              <w:t>Rates Valuation Officer</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170F82E4" w:rsidR="004D197E" w:rsidRPr="009C6680" w:rsidRDefault="00960104" w:rsidP="004D197E">
            <w:pPr>
              <w:spacing w:line="360" w:lineRule="auto"/>
              <w:rPr>
                <w:rFonts w:ascii="Arial" w:hAnsi="Arial" w:cs="Arial"/>
                <w:sz w:val="20"/>
                <w:szCs w:val="20"/>
              </w:rPr>
            </w:pPr>
            <w:r>
              <w:rPr>
                <w:rFonts w:ascii="Arial" w:hAnsi="Arial" w:cs="Arial"/>
                <w:sz w:val="20"/>
                <w:szCs w:val="20"/>
              </w:rPr>
              <w:t>City Administration Centre, 12 Stewart Avenue Newcastle West</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0FC78D03" w:rsidR="004D197E" w:rsidRPr="006C34F4" w:rsidRDefault="00960104" w:rsidP="004D197E">
            <w:pPr>
              <w:spacing w:line="360" w:lineRule="auto"/>
              <w:rPr>
                <w:rFonts w:ascii="Arial" w:hAnsi="Arial" w:cs="Arial"/>
                <w:sz w:val="20"/>
                <w:szCs w:val="20"/>
              </w:rPr>
            </w:pPr>
            <w:r>
              <w:rPr>
                <w:rFonts w:ascii="Arial" w:hAnsi="Arial" w:cs="Arial"/>
                <w:sz w:val="20"/>
                <w:szCs w:val="20"/>
              </w:rPr>
              <w:t>Corporate Services</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20F3B6DC" w:rsidR="004D197E" w:rsidRPr="009C6680" w:rsidRDefault="00960104" w:rsidP="004D197E">
            <w:pPr>
              <w:spacing w:line="360" w:lineRule="auto"/>
              <w:rPr>
                <w:rFonts w:ascii="Arial" w:hAnsi="Arial" w:cs="Arial"/>
                <w:sz w:val="20"/>
                <w:szCs w:val="20"/>
              </w:rPr>
            </w:pPr>
            <w:r>
              <w:rPr>
                <w:rFonts w:ascii="Arial" w:hAnsi="Arial" w:cs="Arial"/>
                <w:sz w:val="20"/>
                <w:szCs w:val="20"/>
              </w:rPr>
              <w:t>Rates Team Leader</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58FB1DA8" w:rsidR="004D197E" w:rsidRPr="009C6680" w:rsidRDefault="006C34F4" w:rsidP="004D197E">
            <w:pPr>
              <w:spacing w:line="360" w:lineRule="auto"/>
              <w:rPr>
                <w:rFonts w:ascii="Arial" w:hAnsi="Arial" w:cs="Arial"/>
                <w:sz w:val="20"/>
                <w:szCs w:val="20"/>
              </w:rPr>
            </w:pPr>
            <w:r>
              <w:rPr>
                <w:rFonts w:ascii="Arial" w:hAnsi="Arial" w:cs="Arial"/>
                <w:sz w:val="20"/>
                <w:szCs w:val="20"/>
              </w:rPr>
              <w:t>Ni</w:t>
            </w:r>
            <w:r w:rsidR="00960104">
              <w:rPr>
                <w:rFonts w:ascii="Arial" w:hAnsi="Arial" w:cs="Arial"/>
                <w:sz w:val="20"/>
                <w:szCs w:val="20"/>
              </w:rPr>
              <w:t>l</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79A83ADF" w:rsidR="004D197E" w:rsidRPr="009C6680" w:rsidRDefault="002D48CC" w:rsidP="004D197E">
            <w:pPr>
              <w:pStyle w:val="NoSpacing"/>
              <w:rPr>
                <w:rFonts w:ascii="Arial" w:hAnsi="Arial" w:cs="Arial"/>
                <w:sz w:val="20"/>
                <w:szCs w:val="20"/>
              </w:rPr>
            </w:pPr>
            <w:r>
              <w:rPr>
                <w:rFonts w:ascii="Arial" w:hAnsi="Arial" w:cs="Arial"/>
                <w:sz w:val="20"/>
                <w:szCs w:val="20"/>
              </w:rPr>
              <w:t>SP</w:t>
            </w:r>
            <w:r w:rsidR="00960104">
              <w:rPr>
                <w:rFonts w:ascii="Arial" w:hAnsi="Arial" w:cs="Arial"/>
                <w:sz w:val="20"/>
                <w:szCs w:val="20"/>
              </w:rPr>
              <w:t>10</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4E6D40A9"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960104">
              <w:rPr>
                <w:rFonts w:ascii="Arial" w:hAnsi="Arial" w:cs="Arial"/>
                <w:sz w:val="20"/>
                <w:szCs w:val="20"/>
              </w:rPr>
              <w:t xml:space="preserve">6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296EBFD0" w:rsidR="004D197E" w:rsidRPr="009C6680" w:rsidRDefault="00960104" w:rsidP="004D197E">
            <w:pPr>
              <w:spacing w:line="360" w:lineRule="auto"/>
              <w:rPr>
                <w:rFonts w:ascii="Arial" w:hAnsi="Arial" w:cs="Arial"/>
                <w:sz w:val="20"/>
                <w:szCs w:val="20"/>
              </w:rPr>
            </w:pPr>
            <w:r>
              <w:rPr>
                <w:rFonts w:ascii="Arial" w:hAnsi="Arial" w:cs="Arial"/>
                <w:sz w:val="20"/>
                <w:szCs w:val="20"/>
              </w:rPr>
              <w:t>April</w:t>
            </w:r>
            <w:r w:rsidR="002D48CC">
              <w:rPr>
                <w:rFonts w:ascii="Arial" w:hAnsi="Arial" w:cs="Arial"/>
                <w:sz w:val="20"/>
                <w:szCs w:val="20"/>
              </w:rPr>
              <w:t xml:space="preserve"> </w:t>
            </w:r>
            <w:r w:rsidR="00E455EE">
              <w:rPr>
                <w:rFonts w:ascii="Arial" w:hAnsi="Arial" w:cs="Arial"/>
                <w:sz w:val="20"/>
                <w:szCs w:val="20"/>
              </w:rPr>
              <w:t>2</w:t>
            </w:r>
            <w:r w:rsidR="002D48CC">
              <w:rPr>
                <w:rFonts w:ascii="Arial" w:hAnsi="Arial" w:cs="Arial"/>
                <w:sz w:val="20"/>
                <w:szCs w:val="20"/>
              </w:rPr>
              <w:t>0</w:t>
            </w:r>
            <w:r w:rsidR="00E455EE">
              <w:rPr>
                <w:rFonts w:ascii="Arial" w:hAnsi="Arial" w:cs="Arial"/>
                <w:sz w:val="20"/>
                <w:szCs w:val="20"/>
              </w:rPr>
              <w:t>2</w:t>
            </w:r>
            <w:r>
              <w:rPr>
                <w:rFonts w:ascii="Arial" w:hAnsi="Arial" w:cs="Arial"/>
                <w:sz w:val="20"/>
                <w:szCs w:val="20"/>
              </w:rPr>
              <w:t>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0B67F377" w14:textId="77777777" w:rsidR="008A6D85" w:rsidRDefault="008A6D85" w:rsidP="009C6680">
      <w:pPr>
        <w:spacing w:line="240" w:lineRule="auto"/>
        <w:rPr>
          <w:rFonts w:ascii="Arial" w:hAnsi="Arial" w:cs="Arial"/>
          <w:b/>
          <w:bCs/>
          <w:sz w:val="20"/>
          <w:szCs w:val="20"/>
        </w:rPr>
      </w:pPr>
    </w:p>
    <w:p w14:paraId="12993C93" w14:textId="0F38601D" w:rsidR="00C80052" w:rsidRPr="00E455EE"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The</w:t>
      </w:r>
      <w:r w:rsidR="00960104">
        <w:rPr>
          <w:rFonts w:ascii="Arial" w:hAnsi="Arial" w:cs="Arial"/>
          <w:sz w:val="20"/>
          <w:szCs w:val="20"/>
        </w:rPr>
        <w:t xml:space="preserve"> Finance Property and Performance</w:t>
      </w:r>
      <w:r w:rsidR="00C80E30">
        <w:rPr>
          <w:rFonts w:ascii="Arial" w:hAnsi="Arial" w:cs="Arial"/>
          <w:sz w:val="20"/>
          <w:szCs w:val="20"/>
        </w:rPr>
        <w:t xml:space="preserve"> </w:t>
      </w:r>
      <w:r w:rsidR="006C34F4">
        <w:rPr>
          <w:rFonts w:ascii="Arial" w:hAnsi="Arial" w:cs="Arial"/>
          <w:sz w:val="20"/>
          <w:szCs w:val="20"/>
        </w:rPr>
        <w:t>Service Unit</w:t>
      </w:r>
      <w:r w:rsidRPr="008A6D85">
        <w:rPr>
          <w:rFonts w:ascii="Arial" w:hAnsi="Arial" w:cs="Arial"/>
          <w:sz w:val="20"/>
          <w:szCs w:val="20"/>
        </w:rPr>
        <w:t xml:space="preserve"> is part of</w:t>
      </w:r>
      <w:r w:rsidR="00960104">
        <w:rPr>
          <w:rFonts w:ascii="Arial" w:hAnsi="Arial" w:cs="Arial"/>
          <w:sz w:val="20"/>
          <w:szCs w:val="20"/>
        </w:rPr>
        <w:t xml:space="preserve"> Corporate Services</w:t>
      </w:r>
      <w:r w:rsidR="0079665A">
        <w:rPr>
          <w:rFonts w:ascii="Arial" w:hAnsi="Arial" w:cs="Arial"/>
          <w:sz w:val="20"/>
          <w:szCs w:val="20"/>
        </w:rPr>
        <w:t xml:space="preserve"> </w:t>
      </w:r>
      <w:r w:rsidRPr="008A6D85">
        <w:rPr>
          <w:rFonts w:ascii="Arial" w:hAnsi="Arial" w:cs="Arial"/>
          <w:sz w:val="20"/>
          <w:szCs w:val="20"/>
        </w:rPr>
        <w:t>Directorate and this role reports to the</w:t>
      </w:r>
      <w:r w:rsidR="00E455EE">
        <w:rPr>
          <w:rFonts w:ascii="Arial" w:hAnsi="Arial" w:cs="Arial"/>
          <w:sz w:val="20"/>
          <w:szCs w:val="20"/>
        </w:rPr>
        <w:t xml:space="preserve"> </w:t>
      </w:r>
      <w:bookmarkEnd w:id="0"/>
      <w:r w:rsidR="00960104">
        <w:rPr>
          <w:rFonts w:ascii="Arial" w:hAnsi="Arial" w:cs="Arial"/>
          <w:sz w:val="20"/>
          <w:szCs w:val="20"/>
        </w:rPr>
        <w:t xml:space="preserve">Rates Team Leader. </w:t>
      </w:r>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024855CD" w14:textId="1F3F7DF2" w:rsidR="006543A0" w:rsidRDefault="009C6680" w:rsidP="00E455EE">
      <w:pPr>
        <w:spacing w:line="257" w:lineRule="auto"/>
        <w:jc w:val="both"/>
        <w:rPr>
          <w:rFonts w:ascii="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9C6680">
        <w:rPr>
          <w:rFonts w:ascii="Arial" w:eastAsia="Arial" w:hAnsi="Arial" w:cs="Arial"/>
          <w:sz w:val="20"/>
          <w:szCs w:val="20"/>
        </w:rPr>
        <w:t>organisation.</w:t>
      </w:r>
    </w:p>
    <w:p w14:paraId="7F49E49C" w14:textId="77777777" w:rsidR="00E455EE" w:rsidRPr="006C34F4" w:rsidRDefault="00E455EE" w:rsidP="00E455EE">
      <w:pPr>
        <w:jc w:val="both"/>
        <w:rPr>
          <w:rFonts w:ascii="Arial" w:hAnsi="Arial" w:cs="Arial"/>
          <w:b/>
          <w:bCs/>
          <w:sz w:val="20"/>
          <w:szCs w:val="20"/>
        </w:rPr>
      </w:pPr>
      <w:r w:rsidRPr="006C34F4">
        <w:rPr>
          <w:rFonts w:ascii="Arial" w:hAnsi="Arial" w:cs="Arial"/>
          <w:b/>
          <w:bCs/>
          <w:sz w:val="20"/>
          <w:szCs w:val="20"/>
        </w:rPr>
        <w:t xml:space="preserve">What’s the focus of this position? </w:t>
      </w:r>
    </w:p>
    <w:p w14:paraId="45E779C2" w14:textId="77777777" w:rsidR="00960104" w:rsidRPr="00960104" w:rsidRDefault="00960104" w:rsidP="00960104">
      <w:pPr>
        <w:spacing w:after="360" w:line="240" w:lineRule="auto"/>
        <w:jc w:val="both"/>
        <w:rPr>
          <w:rFonts w:ascii="Arial" w:hAnsi="Arial" w:cs="Arial"/>
          <w:color w:val="000000"/>
          <w:sz w:val="20"/>
          <w:szCs w:val="20"/>
        </w:rPr>
      </w:pPr>
      <w:r w:rsidRPr="00960104">
        <w:rPr>
          <w:rFonts w:ascii="Arial" w:hAnsi="Arial" w:cs="Arial"/>
          <w:color w:val="000000"/>
          <w:sz w:val="20"/>
          <w:szCs w:val="20"/>
        </w:rPr>
        <w:t xml:space="preserve">The primary focus of this position is to be accountable and responsible for the processes that enable the levying and maximising supplementary rate and charges income. This encompasses ordinary rates, special Rates, waste charges, stormwater charges and Hunter Catchment contributions. </w:t>
      </w:r>
    </w:p>
    <w:p w14:paraId="5C36DFD1" w14:textId="77777777" w:rsidR="00960104" w:rsidRPr="00960104" w:rsidRDefault="00960104" w:rsidP="00960104">
      <w:pPr>
        <w:spacing w:after="360" w:line="240" w:lineRule="auto"/>
        <w:jc w:val="both"/>
        <w:rPr>
          <w:rFonts w:ascii="Arial" w:hAnsi="Arial" w:cs="Arial"/>
          <w:color w:val="000000"/>
          <w:sz w:val="20"/>
          <w:szCs w:val="20"/>
        </w:rPr>
      </w:pPr>
    </w:p>
    <w:p w14:paraId="599CE1AA" w14:textId="403534AF" w:rsidR="002D48CC" w:rsidRPr="006C34F4" w:rsidRDefault="00960104" w:rsidP="00960104">
      <w:pPr>
        <w:spacing w:after="360" w:line="240" w:lineRule="auto"/>
        <w:jc w:val="both"/>
        <w:rPr>
          <w:rFonts w:ascii="Arial" w:hAnsi="Arial" w:cs="Arial"/>
          <w:color w:val="000000"/>
          <w:sz w:val="20"/>
          <w:szCs w:val="20"/>
        </w:rPr>
      </w:pPr>
      <w:r w:rsidRPr="00960104">
        <w:rPr>
          <w:rFonts w:ascii="Arial" w:hAnsi="Arial" w:cs="Arial"/>
          <w:color w:val="000000"/>
          <w:sz w:val="20"/>
          <w:szCs w:val="20"/>
        </w:rPr>
        <w:t>Additionally, this position will provide operational support in the provision of managing stakeholder enquires and ensuring legislative requirements are being met regarding the valuation of properties and other rating issues.</w:t>
      </w:r>
    </w:p>
    <w:p w14:paraId="4B0A9DCA" w14:textId="77777777" w:rsidR="009C6680" w:rsidRPr="006C34F4" w:rsidRDefault="009C6680" w:rsidP="009C6680">
      <w:pPr>
        <w:jc w:val="both"/>
        <w:rPr>
          <w:rStyle w:val="normaltextrun"/>
          <w:rFonts w:ascii="Arial" w:hAnsi="Arial" w:cs="Arial"/>
          <w:b/>
          <w:bCs/>
          <w:sz w:val="20"/>
          <w:szCs w:val="20"/>
        </w:rPr>
      </w:pPr>
      <w:r w:rsidRPr="006C34F4">
        <w:rPr>
          <w:rStyle w:val="normaltextrun"/>
          <w:rFonts w:ascii="Arial" w:hAnsi="Arial" w:cs="Arial"/>
          <w:b/>
          <w:bCs/>
          <w:sz w:val="20"/>
          <w:szCs w:val="20"/>
        </w:rPr>
        <w:t>What you will be doing:</w:t>
      </w:r>
    </w:p>
    <w:p w14:paraId="6CDDE8E5"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 xml:space="preserve">Maximising rate yield and ensuring the legitimacy and currency of CN’s rates database through timely processing of Supplementary Valuation Lists issued by Valuer General of NSW, and ensuring the rating of all subdivided land is effective from the date of registration of the subdivision plan. </w:t>
      </w:r>
    </w:p>
    <w:p w14:paraId="183C7CC6"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Preparation of accurate reconciliations of land valuations between TechnologyOne Property and Rating and the Valuer General.</w:t>
      </w:r>
    </w:p>
    <w:p w14:paraId="638B7AD7"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Timely adjustment of rates and charges on properties affected by new Deposited Plans and Strata Plans pending the receipt of new land values.</w:t>
      </w:r>
    </w:p>
    <w:p w14:paraId="78F46BCF"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Provision of technical support that supports the issuance of timely and accurate section 603 certificates.</w:t>
      </w:r>
    </w:p>
    <w:p w14:paraId="53D8DF01"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Provision of operational support to the Rates &amp; Revenue Manager pertaining to matters including, but not limited to, rate exemptions, category changes, farmland rating, postponement of rates and mixed development apportionment factors.</w:t>
      </w:r>
    </w:p>
    <w:p w14:paraId="41F01E7A"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Represent the Rates team as the primary contact in resolving GIS related matters affecting rates and charges.</w:t>
      </w:r>
    </w:p>
    <w:p w14:paraId="33CE047D"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Ensure eligibility for valuation allowances and stormwater charge liability is verified.</w:t>
      </w:r>
    </w:p>
    <w:p w14:paraId="018F04E8"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 xml:space="preserve">Assume accountability for the accuracy of all supplementary rates and charges notices. </w:t>
      </w:r>
    </w:p>
    <w:p w14:paraId="66BBF56C"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Respond to complex correspondence regarding rating and valuation matters.</w:t>
      </w:r>
    </w:p>
    <w:p w14:paraId="53C31277"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 xml:space="preserve">Ensure adherence with legislation and internal policies via solid research, </w:t>
      </w:r>
      <w:proofErr w:type="gramStart"/>
      <w:r w:rsidRPr="00960104">
        <w:rPr>
          <w:rFonts w:ascii="Arial" w:hAnsi="Arial" w:cs="Arial"/>
          <w:sz w:val="20"/>
          <w:szCs w:val="20"/>
        </w:rPr>
        <w:t>interpretation</w:t>
      </w:r>
      <w:proofErr w:type="gramEnd"/>
      <w:r w:rsidRPr="00960104">
        <w:rPr>
          <w:rFonts w:ascii="Arial" w:hAnsi="Arial" w:cs="Arial"/>
          <w:sz w:val="20"/>
          <w:szCs w:val="20"/>
        </w:rPr>
        <w:t xml:space="preserve"> and administration practices.</w:t>
      </w:r>
    </w:p>
    <w:p w14:paraId="7DA8498D"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Completion of statutory reporting as required.</w:t>
      </w:r>
    </w:p>
    <w:p w14:paraId="3C1A9CC3"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Assist in the tri-yearly Valuer General land revaluation process.</w:t>
      </w:r>
    </w:p>
    <w:p w14:paraId="63FCA61A"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Maintain a register on non-rateable property and amended on objection adjustments.</w:t>
      </w:r>
    </w:p>
    <w:p w14:paraId="6E7D154D"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Successfully communicate information in a courteous, efficient manner, which enhances CN’s image in the community.</w:t>
      </w:r>
    </w:p>
    <w:p w14:paraId="4FA70D5A" w14:textId="77777777" w:rsidR="00960104" w:rsidRPr="00960104" w:rsidRDefault="00960104" w:rsidP="00960104">
      <w:pPr>
        <w:pStyle w:val="paragraph"/>
        <w:numPr>
          <w:ilvl w:val="0"/>
          <w:numId w:val="9"/>
        </w:numPr>
        <w:spacing w:after="0"/>
        <w:jc w:val="both"/>
        <w:textAlignment w:val="baseline"/>
        <w:rPr>
          <w:rFonts w:ascii="Arial" w:hAnsi="Arial" w:cs="Arial"/>
          <w:sz w:val="20"/>
          <w:szCs w:val="20"/>
        </w:rPr>
      </w:pPr>
      <w:r w:rsidRPr="00960104">
        <w:rPr>
          <w:rFonts w:ascii="Arial" w:hAnsi="Arial" w:cs="Arial"/>
          <w:sz w:val="20"/>
          <w:szCs w:val="20"/>
        </w:rPr>
        <w:t xml:space="preserve">Provision of operational and administration support across the Rates team pertaining to matters including, but not limited to, notices of transfer, change of addresses, pension rebate applications, direct </w:t>
      </w:r>
      <w:proofErr w:type="gramStart"/>
      <w:r w:rsidRPr="00960104">
        <w:rPr>
          <w:rFonts w:ascii="Arial" w:hAnsi="Arial" w:cs="Arial"/>
          <w:sz w:val="20"/>
          <w:szCs w:val="20"/>
        </w:rPr>
        <w:t>debits</w:t>
      </w:r>
      <w:proofErr w:type="gramEnd"/>
      <w:r w:rsidRPr="00960104">
        <w:rPr>
          <w:rFonts w:ascii="Arial" w:hAnsi="Arial" w:cs="Arial"/>
          <w:sz w:val="20"/>
          <w:szCs w:val="20"/>
        </w:rPr>
        <w:t xml:space="preserve"> and refunds.</w:t>
      </w:r>
    </w:p>
    <w:p w14:paraId="4A898093" w14:textId="527EBCCE" w:rsidR="009C6680" w:rsidRPr="006C34F4" w:rsidRDefault="009C6680" w:rsidP="006C34F4">
      <w:pPr>
        <w:pStyle w:val="paragraph"/>
        <w:numPr>
          <w:ilvl w:val="0"/>
          <w:numId w:val="9"/>
        </w:numPr>
        <w:spacing w:before="0" w:beforeAutospacing="0" w:after="0" w:afterAutospacing="0"/>
        <w:ind w:left="714" w:hanging="357"/>
        <w:jc w:val="both"/>
        <w:textAlignment w:val="baseline"/>
        <w:rPr>
          <w:rFonts w:ascii="Arial" w:hAnsi="Arial" w:cs="Arial"/>
          <w:sz w:val="20"/>
          <w:szCs w:val="20"/>
        </w:rPr>
      </w:pPr>
      <w:r w:rsidRPr="006C34F4">
        <w:rPr>
          <w:rFonts w:ascii="Arial" w:hAnsi="Arial" w:cs="Arial"/>
          <w:sz w:val="20"/>
          <w:szCs w:val="20"/>
        </w:rPr>
        <w:t>Any other accountabilities</w:t>
      </w:r>
      <w:r w:rsidR="0079665A">
        <w:rPr>
          <w:rFonts w:ascii="Arial" w:hAnsi="Arial" w:cs="Arial"/>
          <w:sz w:val="20"/>
          <w:szCs w:val="20"/>
        </w:rPr>
        <w:t xml:space="preserve"> </w:t>
      </w:r>
      <w:r w:rsidRPr="006C34F4">
        <w:rPr>
          <w:rFonts w:ascii="Arial" w:hAnsi="Arial" w:cs="Arial"/>
          <w:sz w:val="20"/>
          <w:szCs w:val="20"/>
        </w:rPr>
        <w:t xml:space="preserve">or duties as directed by the </w:t>
      </w:r>
      <w:r w:rsidR="00EC2894" w:rsidRPr="006C34F4">
        <w:rPr>
          <w:rFonts w:ascii="Arial" w:hAnsi="Arial" w:cs="Arial"/>
          <w:sz w:val="20"/>
          <w:szCs w:val="20"/>
        </w:rPr>
        <w:t>Manager</w:t>
      </w:r>
      <w:r w:rsidR="00850832" w:rsidRPr="006C34F4">
        <w:rPr>
          <w:rFonts w:ascii="Arial" w:hAnsi="Arial" w:cs="Arial"/>
          <w:sz w:val="20"/>
          <w:szCs w:val="20"/>
        </w:rPr>
        <w:t xml:space="preserve"> </w:t>
      </w:r>
      <w:r w:rsidRPr="006C34F4">
        <w:rPr>
          <w:rFonts w:ascii="Arial" w:hAnsi="Arial" w:cs="Arial"/>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69BBF156" w14:textId="77777777" w:rsidR="00960104" w:rsidRPr="00960104" w:rsidRDefault="00960104" w:rsidP="00960104">
      <w:pPr>
        <w:pStyle w:val="ListParagraph"/>
        <w:numPr>
          <w:ilvl w:val="0"/>
          <w:numId w:val="49"/>
        </w:numPr>
        <w:spacing w:after="120" w:line="240" w:lineRule="auto"/>
        <w:jc w:val="both"/>
        <w:rPr>
          <w:rFonts w:ascii="Arial" w:hAnsi="Arial" w:cs="Arial"/>
          <w:sz w:val="20"/>
          <w:szCs w:val="20"/>
        </w:rPr>
      </w:pPr>
      <w:r w:rsidRPr="00960104">
        <w:rPr>
          <w:rFonts w:ascii="Arial" w:hAnsi="Arial" w:cs="Arial"/>
          <w:sz w:val="20"/>
          <w:szCs w:val="20"/>
        </w:rPr>
        <w:t>Tertiary qualification in accounting or related discipline and/or relevant experience.</w:t>
      </w:r>
    </w:p>
    <w:p w14:paraId="6A264E20" w14:textId="77777777" w:rsidR="00960104" w:rsidRPr="00960104" w:rsidRDefault="00960104" w:rsidP="00960104">
      <w:pPr>
        <w:pStyle w:val="ListParagraph"/>
        <w:numPr>
          <w:ilvl w:val="0"/>
          <w:numId w:val="49"/>
        </w:numPr>
        <w:spacing w:after="120" w:line="240" w:lineRule="auto"/>
        <w:jc w:val="both"/>
        <w:rPr>
          <w:rFonts w:ascii="Arial" w:hAnsi="Arial" w:cs="Arial"/>
          <w:sz w:val="20"/>
          <w:szCs w:val="20"/>
        </w:rPr>
      </w:pPr>
      <w:r w:rsidRPr="00960104">
        <w:rPr>
          <w:rFonts w:ascii="Arial" w:hAnsi="Arial" w:cs="Arial"/>
          <w:sz w:val="20"/>
          <w:szCs w:val="20"/>
        </w:rPr>
        <w:t>Sound knowledge of legislation pertaining to local government rating, particularly those provisions relating to valuations and rating categories.</w:t>
      </w:r>
    </w:p>
    <w:p w14:paraId="5A901251" w14:textId="77777777" w:rsidR="00960104" w:rsidRPr="00960104" w:rsidRDefault="00960104" w:rsidP="00960104">
      <w:pPr>
        <w:pStyle w:val="ListParagraph"/>
        <w:numPr>
          <w:ilvl w:val="0"/>
          <w:numId w:val="49"/>
        </w:numPr>
        <w:spacing w:after="120" w:line="240" w:lineRule="auto"/>
        <w:jc w:val="both"/>
        <w:rPr>
          <w:rFonts w:ascii="Arial" w:hAnsi="Arial" w:cs="Arial"/>
          <w:sz w:val="20"/>
          <w:szCs w:val="20"/>
        </w:rPr>
      </w:pPr>
      <w:r w:rsidRPr="00960104">
        <w:rPr>
          <w:rFonts w:ascii="Arial" w:hAnsi="Arial" w:cs="Arial"/>
          <w:sz w:val="20"/>
          <w:szCs w:val="20"/>
        </w:rPr>
        <w:t>Extensive experience in a rating environment.</w:t>
      </w:r>
    </w:p>
    <w:p w14:paraId="641B8E75" w14:textId="77777777" w:rsidR="00960104" w:rsidRPr="00960104" w:rsidRDefault="00960104" w:rsidP="00960104">
      <w:pPr>
        <w:pStyle w:val="ListParagraph"/>
        <w:numPr>
          <w:ilvl w:val="0"/>
          <w:numId w:val="49"/>
        </w:numPr>
        <w:spacing w:after="120" w:line="240" w:lineRule="auto"/>
        <w:jc w:val="both"/>
        <w:rPr>
          <w:rFonts w:ascii="Arial" w:hAnsi="Arial" w:cs="Arial"/>
          <w:sz w:val="20"/>
          <w:szCs w:val="20"/>
        </w:rPr>
      </w:pPr>
      <w:r w:rsidRPr="00960104">
        <w:rPr>
          <w:rFonts w:ascii="Arial" w:hAnsi="Arial" w:cs="Arial"/>
          <w:sz w:val="20"/>
          <w:szCs w:val="20"/>
        </w:rPr>
        <w:t>Strong time management skills with the ability to prioritise multiple and simultaneous tasks.</w:t>
      </w:r>
    </w:p>
    <w:p w14:paraId="103500F7" w14:textId="77777777" w:rsidR="00960104" w:rsidRPr="00960104" w:rsidRDefault="00960104" w:rsidP="00960104">
      <w:pPr>
        <w:pStyle w:val="ListParagraph"/>
        <w:numPr>
          <w:ilvl w:val="0"/>
          <w:numId w:val="49"/>
        </w:numPr>
        <w:spacing w:after="120" w:line="240" w:lineRule="auto"/>
        <w:jc w:val="both"/>
        <w:rPr>
          <w:rFonts w:ascii="Arial" w:hAnsi="Arial" w:cs="Arial"/>
          <w:sz w:val="20"/>
          <w:szCs w:val="20"/>
        </w:rPr>
      </w:pPr>
      <w:r w:rsidRPr="00960104">
        <w:rPr>
          <w:rFonts w:ascii="Arial" w:hAnsi="Arial" w:cs="Arial"/>
          <w:sz w:val="20"/>
          <w:szCs w:val="20"/>
        </w:rPr>
        <w:t xml:space="preserve">Well-developed interpersonal, </w:t>
      </w:r>
      <w:proofErr w:type="gramStart"/>
      <w:r w:rsidRPr="00960104">
        <w:rPr>
          <w:rFonts w:ascii="Arial" w:hAnsi="Arial" w:cs="Arial"/>
          <w:sz w:val="20"/>
          <w:szCs w:val="20"/>
        </w:rPr>
        <w:t>written</w:t>
      </w:r>
      <w:proofErr w:type="gramEnd"/>
      <w:r w:rsidRPr="00960104">
        <w:rPr>
          <w:rFonts w:ascii="Arial" w:hAnsi="Arial" w:cs="Arial"/>
          <w:sz w:val="20"/>
          <w:szCs w:val="20"/>
        </w:rPr>
        <w:t xml:space="preserve"> and oral communication skills dealing with both internal and external customers.</w:t>
      </w:r>
    </w:p>
    <w:p w14:paraId="5C72AAC4" w14:textId="77777777" w:rsidR="00960104" w:rsidRPr="00960104" w:rsidRDefault="00960104" w:rsidP="00960104">
      <w:pPr>
        <w:pStyle w:val="ListParagraph"/>
        <w:numPr>
          <w:ilvl w:val="0"/>
          <w:numId w:val="49"/>
        </w:numPr>
        <w:spacing w:after="120" w:line="240" w:lineRule="auto"/>
        <w:jc w:val="both"/>
        <w:rPr>
          <w:rFonts w:ascii="Arial" w:hAnsi="Arial" w:cs="Arial"/>
          <w:sz w:val="20"/>
          <w:szCs w:val="20"/>
        </w:rPr>
      </w:pPr>
      <w:r w:rsidRPr="00960104">
        <w:rPr>
          <w:rFonts w:ascii="Arial" w:hAnsi="Arial" w:cs="Arial"/>
          <w:sz w:val="20"/>
          <w:szCs w:val="20"/>
        </w:rPr>
        <w:t>Demonstrated experience using software systems including a solid working knowledge of Excel and Word.</w:t>
      </w:r>
    </w:p>
    <w:p w14:paraId="360E1365" w14:textId="77777777" w:rsidR="00960104" w:rsidRPr="00960104" w:rsidRDefault="00960104" w:rsidP="00960104">
      <w:pPr>
        <w:pStyle w:val="ListParagraph"/>
        <w:numPr>
          <w:ilvl w:val="0"/>
          <w:numId w:val="49"/>
        </w:numPr>
        <w:spacing w:after="120" w:line="240" w:lineRule="auto"/>
        <w:jc w:val="both"/>
        <w:rPr>
          <w:rFonts w:ascii="Arial" w:hAnsi="Arial" w:cs="Arial"/>
          <w:sz w:val="20"/>
          <w:szCs w:val="20"/>
        </w:rPr>
      </w:pPr>
      <w:r w:rsidRPr="00960104">
        <w:rPr>
          <w:rFonts w:ascii="Arial" w:hAnsi="Arial" w:cs="Arial"/>
          <w:sz w:val="20"/>
          <w:szCs w:val="20"/>
        </w:rPr>
        <w:t>Excellent plan and map interpretation skills.</w:t>
      </w:r>
    </w:p>
    <w:p w14:paraId="550ADCA3" w14:textId="77777777" w:rsidR="00960104" w:rsidRPr="00960104" w:rsidRDefault="00960104" w:rsidP="00960104">
      <w:pPr>
        <w:pStyle w:val="ListParagraph"/>
        <w:numPr>
          <w:ilvl w:val="0"/>
          <w:numId w:val="49"/>
        </w:numPr>
        <w:spacing w:after="120" w:line="240" w:lineRule="auto"/>
        <w:jc w:val="both"/>
        <w:rPr>
          <w:rFonts w:ascii="Arial" w:hAnsi="Arial" w:cs="Arial"/>
          <w:sz w:val="20"/>
          <w:szCs w:val="20"/>
        </w:rPr>
      </w:pPr>
      <w:r w:rsidRPr="00960104">
        <w:rPr>
          <w:rFonts w:ascii="Arial" w:hAnsi="Arial" w:cs="Arial"/>
          <w:sz w:val="20"/>
          <w:szCs w:val="20"/>
        </w:rPr>
        <w:t>Well-developed negotiation and problem-solving skills</w:t>
      </w:r>
    </w:p>
    <w:p w14:paraId="6E868CB6" w14:textId="77777777" w:rsidR="00960104" w:rsidRDefault="00960104" w:rsidP="009C6680">
      <w:pPr>
        <w:spacing w:after="120" w:line="240" w:lineRule="auto"/>
        <w:jc w:val="both"/>
        <w:rPr>
          <w:rFonts w:ascii="Arial" w:hAnsi="Arial" w:cs="Arial"/>
          <w:b/>
          <w:bCs/>
          <w:sz w:val="20"/>
          <w:szCs w:val="20"/>
        </w:rPr>
      </w:pPr>
    </w:p>
    <w:p w14:paraId="44A8E75D" w14:textId="1CBF35FB"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4AECE4A8" w14:textId="77777777" w:rsidR="00960104" w:rsidRPr="00960104" w:rsidRDefault="00960104" w:rsidP="00960104">
      <w:pPr>
        <w:pStyle w:val="ListParagraph"/>
        <w:numPr>
          <w:ilvl w:val="0"/>
          <w:numId w:val="50"/>
        </w:numPr>
        <w:spacing w:after="0" w:line="240" w:lineRule="auto"/>
        <w:rPr>
          <w:rFonts w:ascii="Arial" w:hAnsi="Arial" w:cs="Arial"/>
          <w:sz w:val="20"/>
          <w:szCs w:val="20"/>
        </w:rPr>
      </w:pPr>
      <w:r w:rsidRPr="00960104">
        <w:rPr>
          <w:rFonts w:ascii="Arial" w:hAnsi="Arial" w:cs="Arial"/>
          <w:sz w:val="20"/>
          <w:szCs w:val="20"/>
        </w:rPr>
        <w:t xml:space="preserve">Experience with and knowledge of TechnologyOne Corporate Applications </w:t>
      </w:r>
      <w:proofErr w:type="gramStart"/>
      <w:r w:rsidRPr="00960104">
        <w:rPr>
          <w:rFonts w:ascii="Arial" w:hAnsi="Arial" w:cs="Arial"/>
          <w:sz w:val="20"/>
          <w:szCs w:val="20"/>
        </w:rPr>
        <w:t>e.g.</w:t>
      </w:r>
      <w:proofErr w:type="gramEnd"/>
      <w:r w:rsidRPr="00960104">
        <w:rPr>
          <w:rFonts w:ascii="Arial" w:hAnsi="Arial" w:cs="Arial"/>
          <w:sz w:val="20"/>
          <w:szCs w:val="20"/>
        </w:rPr>
        <w:t xml:space="preserve"> Request Management, ECM, Corporate Enterprise Suite, Property and Rating, and Enterprise Cash Receipting.</w:t>
      </w:r>
    </w:p>
    <w:p w14:paraId="7D0CCD14" w14:textId="77777777" w:rsidR="00960104" w:rsidRPr="00960104" w:rsidRDefault="00960104" w:rsidP="00960104">
      <w:pPr>
        <w:pStyle w:val="ListParagraph"/>
        <w:numPr>
          <w:ilvl w:val="0"/>
          <w:numId w:val="50"/>
        </w:numPr>
        <w:spacing w:after="0" w:line="240" w:lineRule="auto"/>
        <w:rPr>
          <w:rFonts w:ascii="Arial" w:hAnsi="Arial" w:cs="Arial"/>
          <w:sz w:val="20"/>
          <w:szCs w:val="20"/>
        </w:rPr>
      </w:pPr>
      <w:r w:rsidRPr="00960104">
        <w:rPr>
          <w:rFonts w:ascii="Arial" w:hAnsi="Arial" w:cs="Arial"/>
          <w:sz w:val="20"/>
          <w:szCs w:val="20"/>
        </w:rPr>
        <w:lastRenderedPageBreak/>
        <w:t>Experience and knowledge of Council’s operations and relevant Government Departments.</w:t>
      </w: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627E7"/>
    <w:multiLevelType w:val="hybridMultilevel"/>
    <w:tmpl w:val="E99C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F41387"/>
    <w:multiLevelType w:val="hybridMultilevel"/>
    <w:tmpl w:val="A13AE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1"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1"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6"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5"/>
  </w:num>
  <w:num w:numId="2" w16cid:durableId="1848445018">
    <w:abstractNumId w:val="20"/>
  </w:num>
  <w:num w:numId="3" w16cid:durableId="329917452">
    <w:abstractNumId w:val="30"/>
  </w:num>
  <w:num w:numId="4" w16cid:durableId="364410514">
    <w:abstractNumId w:val="10"/>
  </w:num>
  <w:num w:numId="5" w16cid:durableId="406732439">
    <w:abstractNumId w:val="18"/>
  </w:num>
  <w:num w:numId="6" w16cid:durableId="1929731319">
    <w:abstractNumId w:val="40"/>
  </w:num>
  <w:num w:numId="7" w16cid:durableId="753548037">
    <w:abstractNumId w:val="8"/>
  </w:num>
  <w:num w:numId="8" w16cid:durableId="1569220325">
    <w:abstractNumId w:val="42"/>
  </w:num>
  <w:num w:numId="9" w16cid:durableId="446773780">
    <w:abstractNumId w:val="33"/>
  </w:num>
  <w:num w:numId="10" w16cid:durableId="1095320731">
    <w:abstractNumId w:val="27"/>
  </w:num>
  <w:num w:numId="11" w16cid:durableId="338773724">
    <w:abstractNumId w:val="15"/>
  </w:num>
  <w:num w:numId="12" w16cid:durableId="1299646114">
    <w:abstractNumId w:val="21"/>
  </w:num>
  <w:num w:numId="13" w16cid:durableId="1443258699">
    <w:abstractNumId w:val="26"/>
  </w:num>
  <w:num w:numId="14" w16cid:durableId="907615678">
    <w:abstractNumId w:val="25"/>
  </w:num>
  <w:num w:numId="15" w16cid:durableId="155802172">
    <w:abstractNumId w:val="41"/>
  </w:num>
  <w:num w:numId="16" w16cid:durableId="138812283">
    <w:abstractNumId w:val="32"/>
  </w:num>
  <w:num w:numId="17" w16cid:durableId="1903559242">
    <w:abstractNumId w:val="2"/>
  </w:num>
  <w:num w:numId="18" w16cid:durableId="1932812444">
    <w:abstractNumId w:val="31"/>
  </w:num>
  <w:num w:numId="19" w16cid:durableId="1852600471">
    <w:abstractNumId w:val="13"/>
  </w:num>
  <w:num w:numId="20" w16cid:durableId="685443388">
    <w:abstractNumId w:val="12"/>
  </w:num>
  <w:num w:numId="21" w16cid:durableId="457257670">
    <w:abstractNumId w:val="17"/>
  </w:num>
  <w:num w:numId="22" w16cid:durableId="1560822692">
    <w:abstractNumId w:val="3"/>
  </w:num>
  <w:num w:numId="23" w16cid:durableId="1495104831">
    <w:abstractNumId w:val="29"/>
  </w:num>
  <w:num w:numId="24" w16cid:durableId="2143232301">
    <w:abstractNumId w:val="46"/>
  </w:num>
  <w:num w:numId="25" w16cid:durableId="845286676">
    <w:abstractNumId w:val="34"/>
  </w:num>
  <w:num w:numId="26" w16cid:durableId="1666475157">
    <w:abstractNumId w:val="7"/>
  </w:num>
  <w:num w:numId="27" w16cid:durableId="1386486504">
    <w:abstractNumId w:val="45"/>
  </w:num>
  <w:num w:numId="28" w16cid:durableId="155919499">
    <w:abstractNumId w:val="22"/>
  </w:num>
  <w:num w:numId="29" w16cid:durableId="390465232">
    <w:abstractNumId w:val="28"/>
  </w:num>
  <w:num w:numId="30" w16cid:durableId="189731564">
    <w:abstractNumId w:val="1"/>
  </w:num>
  <w:num w:numId="31" w16cid:durableId="164129589">
    <w:abstractNumId w:val="5"/>
  </w:num>
  <w:num w:numId="32" w16cid:durableId="2134785851">
    <w:abstractNumId w:val="6"/>
  </w:num>
  <w:num w:numId="33" w16cid:durableId="1936473344">
    <w:abstractNumId w:val="23"/>
  </w:num>
  <w:num w:numId="34" w16cid:durableId="1861118303">
    <w:abstractNumId w:val="9"/>
  </w:num>
  <w:num w:numId="35" w16cid:durableId="778257959">
    <w:abstractNumId w:val="39"/>
  </w:num>
  <w:num w:numId="36" w16cid:durableId="2043942685">
    <w:abstractNumId w:val="47"/>
  </w:num>
  <w:num w:numId="37" w16cid:durableId="2039696923">
    <w:abstractNumId w:val="49"/>
  </w:num>
  <w:num w:numId="38" w16cid:durableId="961155548">
    <w:abstractNumId w:val="43"/>
  </w:num>
  <w:num w:numId="39" w16cid:durableId="1738699497">
    <w:abstractNumId w:val="44"/>
  </w:num>
  <w:num w:numId="40" w16cid:durableId="1816141205">
    <w:abstractNumId w:val="4"/>
  </w:num>
  <w:num w:numId="41" w16cid:durableId="1672639278">
    <w:abstractNumId w:val="0"/>
  </w:num>
  <w:num w:numId="42" w16cid:durableId="671638665">
    <w:abstractNumId w:val="19"/>
  </w:num>
  <w:num w:numId="43" w16cid:durableId="1669559868">
    <w:abstractNumId w:val="38"/>
  </w:num>
  <w:num w:numId="44" w16cid:durableId="832136635">
    <w:abstractNumId w:val="24"/>
  </w:num>
  <w:num w:numId="45" w16cid:durableId="521280982">
    <w:abstractNumId w:val="36"/>
  </w:num>
  <w:num w:numId="46" w16cid:durableId="126093211">
    <w:abstractNumId w:val="48"/>
  </w:num>
  <w:num w:numId="47" w16cid:durableId="290208668">
    <w:abstractNumId w:val="11"/>
  </w:num>
  <w:num w:numId="48" w16cid:durableId="1195195499">
    <w:abstractNumId w:val="37"/>
  </w:num>
  <w:num w:numId="49" w16cid:durableId="1963609447">
    <w:abstractNumId w:val="16"/>
  </w:num>
  <w:num w:numId="50" w16cid:durableId="102598377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0104"/>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B2D1C"/>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Kirsten Dabelic</cp:lastModifiedBy>
  <cp:revision>2</cp:revision>
  <cp:lastPrinted>2020-01-14T12:17:00Z</cp:lastPrinted>
  <dcterms:created xsi:type="dcterms:W3CDTF">2024-04-22T00:52:00Z</dcterms:created>
  <dcterms:modified xsi:type="dcterms:W3CDTF">2024-04-22T00:52:00Z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