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:rsidR="006F0924" w:rsidRDefault="006F0924" w:rsidP="00EC0D20">
      <w:pPr>
        <w:spacing w:after="0"/>
        <w:rPr>
          <w:b/>
          <w:szCs w:val="20"/>
          <w:lang w:val="en-US"/>
        </w:rPr>
      </w:pPr>
    </w:p>
    <w:p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="00EF1597">
        <w:rPr>
          <w:b/>
          <w:szCs w:val="20"/>
          <w:lang w:val="en-US"/>
        </w:rPr>
        <w:tab/>
      </w:r>
      <w:r w:rsidR="00EF1597">
        <w:rPr>
          <w:szCs w:val="20"/>
          <w:lang w:val="en-US"/>
        </w:rPr>
        <w:t>Team Coach – Process Delivery</w:t>
      </w:r>
      <w:r w:rsidRPr="00D71ABC">
        <w:rPr>
          <w:b/>
          <w:szCs w:val="20"/>
          <w:lang w:val="en-US"/>
        </w:rPr>
        <w:tab/>
      </w:r>
    </w:p>
    <w:p w:rsidR="00EC0D20" w:rsidRPr="00EF1597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="00EF1597">
        <w:rPr>
          <w:b/>
          <w:szCs w:val="20"/>
          <w:lang w:val="en-US"/>
        </w:rPr>
        <w:tab/>
      </w:r>
      <w:r w:rsidR="00EF1597" w:rsidRPr="00EF1597">
        <w:rPr>
          <w:szCs w:val="20"/>
          <w:lang w:val="en-US"/>
        </w:rPr>
        <w:t>Geelong – Head Office</w:t>
      </w:r>
      <w:r w:rsidRPr="00EF1597">
        <w:rPr>
          <w:szCs w:val="20"/>
          <w:lang w:val="en-US"/>
        </w:rPr>
        <w:tab/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EF1597">
        <w:rPr>
          <w:szCs w:val="20"/>
          <w:lang w:val="en-US"/>
        </w:rPr>
        <w:t>Process Operations Manager</w:t>
      </w:r>
    </w:p>
    <w:p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EF1597">
        <w:rPr>
          <w:szCs w:val="20"/>
          <w:lang w:val="en-US"/>
        </w:rPr>
        <w:t>GMHBA</w:t>
      </w:r>
    </w:p>
    <w:p w:rsidR="001A23C0" w:rsidRPr="00D71ABC" w:rsidRDefault="001A23C0" w:rsidP="00EC0D20">
      <w:pPr>
        <w:spacing w:after="0"/>
        <w:rPr>
          <w:szCs w:val="20"/>
          <w:lang w:val="en-US"/>
        </w:rPr>
      </w:pPr>
      <w:proofErr w:type="spellStart"/>
      <w:r w:rsidRPr="00D71ABC">
        <w:rPr>
          <w:b/>
          <w:szCs w:val="20"/>
          <w:lang w:val="en-US"/>
        </w:rPr>
        <w:t>Organisational</w:t>
      </w:r>
      <w:proofErr w:type="spellEnd"/>
      <w:r w:rsidRPr="00D71ABC">
        <w:rPr>
          <w:b/>
          <w:szCs w:val="20"/>
          <w:lang w:val="en-US"/>
        </w:rPr>
        <w:t xml:space="preserve"> level:</w:t>
      </w:r>
      <w:r w:rsidRPr="00D71ABC">
        <w:rPr>
          <w:szCs w:val="20"/>
          <w:lang w:val="en-US"/>
        </w:rPr>
        <w:tab/>
      </w:r>
      <w:r w:rsidR="00EF1597">
        <w:rPr>
          <w:szCs w:val="20"/>
          <w:lang w:val="en-US"/>
        </w:rPr>
        <w:t>First line leader</w:t>
      </w:r>
    </w:p>
    <w:p w:rsidR="009F083F" w:rsidRPr="00D71ABC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9123BA">
        <w:rPr>
          <w:szCs w:val="20"/>
          <w:lang w:val="en-US"/>
        </w:rPr>
        <w:t>10</w:t>
      </w:r>
      <w:r>
        <w:rPr>
          <w:szCs w:val="20"/>
          <w:lang w:val="en-US"/>
        </w:rPr>
        <w:t xml:space="preserve"> </w:t>
      </w:r>
      <w:r w:rsidR="009123BA">
        <w:rPr>
          <w:szCs w:val="20"/>
          <w:lang w:val="en-US"/>
        </w:rPr>
        <w:t>D</w:t>
      </w:r>
      <w:r>
        <w:rPr>
          <w:szCs w:val="20"/>
          <w:lang w:val="en-US"/>
        </w:rPr>
        <w:t>irect reports</w:t>
      </w:r>
      <w:r w:rsidR="00DE63C3" w:rsidRPr="00D71ABC"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</w:p>
    <w:p w:rsidR="00A36092" w:rsidRPr="00DA57DF" w:rsidRDefault="00A36092" w:rsidP="00E16330">
      <w:pPr>
        <w:pStyle w:val="Title"/>
        <w:pBdr>
          <w:bottom w:val="single" w:sz="8" w:space="0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:rsidR="00F72DD2" w:rsidRDefault="00F72DD2" w:rsidP="00A36092">
      <w:pPr>
        <w:spacing w:after="0"/>
        <w:rPr>
          <w:b/>
          <w:szCs w:val="20"/>
          <w:lang w:val="en-US"/>
        </w:rPr>
      </w:pPr>
    </w:p>
    <w:p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:rsidR="00EB69AD" w:rsidRPr="00341E0F" w:rsidRDefault="00783588" w:rsidP="00CF0259">
      <w:pPr>
        <w:jc w:val="both"/>
        <w:rPr>
          <w:rFonts w:cstheme="minorHAnsi"/>
          <w:szCs w:val="20"/>
        </w:rPr>
      </w:pPr>
      <w:r w:rsidRPr="00341E0F">
        <w:rPr>
          <w:rFonts w:cstheme="minorHAnsi"/>
          <w:szCs w:val="20"/>
        </w:rPr>
        <w:t>To manage a process delivery team to deliver a high level of professional service to members, providers and intern</w:t>
      </w:r>
      <w:r w:rsidR="0021112B" w:rsidRPr="00341E0F">
        <w:rPr>
          <w:rFonts w:cstheme="minorHAnsi"/>
          <w:szCs w:val="20"/>
        </w:rPr>
        <w:t>al customers, ensuring the team</w:t>
      </w:r>
      <w:r w:rsidRPr="00341E0F">
        <w:rPr>
          <w:rFonts w:cstheme="minorHAnsi"/>
          <w:szCs w:val="20"/>
        </w:rPr>
        <w:t xml:space="preserve"> meet</w:t>
      </w:r>
      <w:r w:rsidR="0021112B" w:rsidRPr="00341E0F">
        <w:rPr>
          <w:rFonts w:cstheme="minorHAnsi"/>
          <w:szCs w:val="20"/>
        </w:rPr>
        <w:t>s</w:t>
      </w:r>
      <w:r w:rsidRPr="00341E0F">
        <w:rPr>
          <w:rFonts w:cstheme="minorHAnsi"/>
          <w:szCs w:val="20"/>
        </w:rPr>
        <w:t xml:space="preserve"> key performance metrics </w:t>
      </w:r>
      <w:r w:rsidR="00341E0F">
        <w:rPr>
          <w:rFonts w:cstheme="minorHAnsi"/>
          <w:szCs w:val="20"/>
        </w:rPr>
        <w:t>and customer service standards, and operational efficiencies are achieved.</w:t>
      </w:r>
    </w:p>
    <w:p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:rsidR="007A7C68" w:rsidRPr="007A7C68" w:rsidRDefault="007A7C68" w:rsidP="004B7F3F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Strategy &amp; Leadership </w:t>
      </w:r>
    </w:p>
    <w:p w:rsidR="00E16330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Support delivery of strategic and annual plans for </w:t>
      </w:r>
      <w:r w:rsidR="002A2254" w:rsidRPr="00341E0F">
        <w:rPr>
          <w:rFonts w:ascii="Calibri" w:hAnsi="Calibri" w:cs="Arial"/>
          <w:szCs w:val="20"/>
        </w:rPr>
        <w:t>Sales and Service</w:t>
      </w:r>
      <w:r w:rsidRPr="00341E0F">
        <w:rPr>
          <w:rFonts w:ascii="Calibri" w:hAnsi="Calibri" w:cs="Arial"/>
          <w:szCs w:val="20"/>
        </w:rPr>
        <w:t xml:space="preserve"> aligned to the delivery of the overall GMHBA strategy and plans.</w:t>
      </w:r>
    </w:p>
    <w:p w:rsidR="00783588" w:rsidRPr="00E16330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E16330">
        <w:rPr>
          <w:rFonts w:ascii="Calibri" w:hAnsi="Calibri" w:cs="Arial"/>
          <w:szCs w:val="20"/>
        </w:rPr>
        <w:t xml:space="preserve">Contribute to and Implement designated aspects of the </w:t>
      </w:r>
      <w:r w:rsidR="0021112B" w:rsidRPr="00E16330">
        <w:rPr>
          <w:rFonts w:ascii="Calibri" w:hAnsi="Calibri" w:cs="Arial"/>
          <w:szCs w:val="20"/>
        </w:rPr>
        <w:t>Process Delivery model</w:t>
      </w:r>
      <w:r w:rsidRPr="00E16330">
        <w:rPr>
          <w:rFonts w:ascii="Calibri" w:hAnsi="Calibri" w:cs="Arial"/>
          <w:szCs w:val="20"/>
        </w:rPr>
        <w:t>, in conjunction with</w:t>
      </w:r>
      <w:r w:rsidR="00B40156" w:rsidRPr="00E16330">
        <w:rPr>
          <w:rFonts w:ascii="Calibri" w:hAnsi="Calibri" w:cs="Arial"/>
          <w:szCs w:val="20"/>
        </w:rPr>
        <w:t xml:space="preserve"> other team coaches and</w:t>
      </w:r>
      <w:r w:rsidRPr="00E16330">
        <w:rPr>
          <w:rFonts w:ascii="Calibri" w:hAnsi="Calibri" w:cs="Arial"/>
          <w:szCs w:val="20"/>
        </w:rPr>
        <w:t xml:space="preserve"> key stakeholders.  This includes </w:t>
      </w:r>
      <w:r w:rsidR="00B40156" w:rsidRPr="00E16330">
        <w:rPr>
          <w:rFonts w:ascii="Calibri" w:hAnsi="Calibri" w:cs="Arial"/>
          <w:szCs w:val="20"/>
        </w:rPr>
        <w:t>cont</w:t>
      </w:r>
      <w:r w:rsidR="002A2254" w:rsidRPr="00E16330">
        <w:rPr>
          <w:rFonts w:ascii="Calibri" w:hAnsi="Calibri" w:cs="Arial"/>
          <w:szCs w:val="20"/>
        </w:rPr>
        <w:t>inuously monitoring operations</w:t>
      </w:r>
      <w:r w:rsidR="00B40156" w:rsidRPr="00E16330">
        <w:rPr>
          <w:rFonts w:ascii="Calibri" w:hAnsi="Calibri" w:cs="Arial"/>
          <w:szCs w:val="20"/>
        </w:rPr>
        <w:t xml:space="preserve">, identifying areas for </w:t>
      </w:r>
      <w:r w:rsidR="00EF1597" w:rsidRPr="00E16330">
        <w:rPr>
          <w:rFonts w:ascii="Calibri" w:hAnsi="Calibri" w:cs="Arial"/>
          <w:szCs w:val="20"/>
        </w:rPr>
        <w:t>continuous</w:t>
      </w:r>
      <w:r w:rsidR="00B40156" w:rsidRPr="00E16330">
        <w:rPr>
          <w:rFonts w:ascii="Calibri" w:hAnsi="Calibri" w:cs="Arial"/>
          <w:szCs w:val="20"/>
        </w:rPr>
        <w:t xml:space="preserve"> improvement, </w:t>
      </w:r>
      <w:r w:rsidR="0021112B" w:rsidRPr="00E16330">
        <w:rPr>
          <w:rFonts w:ascii="Calibri" w:hAnsi="Calibri" w:cs="Arial"/>
          <w:szCs w:val="20"/>
        </w:rPr>
        <w:t>process input and development,</w:t>
      </w:r>
      <w:r w:rsidR="002A2254" w:rsidRPr="00E16330">
        <w:rPr>
          <w:rFonts w:ascii="Calibri" w:hAnsi="Calibri" w:cs="Arial"/>
          <w:szCs w:val="20"/>
        </w:rPr>
        <w:t xml:space="preserve"> </w:t>
      </w:r>
      <w:r w:rsidR="00341E0F" w:rsidRPr="00E16330">
        <w:rPr>
          <w:rFonts w:ascii="Calibri" w:hAnsi="Calibri" w:cs="Arial"/>
          <w:szCs w:val="20"/>
        </w:rPr>
        <w:t>implement changes</w:t>
      </w:r>
      <w:r w:rsidR="002A2254" w:rsidRPr="00E16330">
        <w:rPr>
          <w:rFonts w:ascii="Calibri" w:hAnsi="Calibri" w:cs="Arial"/>
          <w:szCs w:val="20"/>
        </w:rPr>
        <w:t>,</w:t>
      </w:r>
      <w:r w:rsidR="0021112B" w:rsidRPr="00E16330">
        <w:rPr>
          <w:rFonts w:ascii="Calibri" w:hAnsi="Calibri" w:cs="Arial"/>
          <w:szCs w:val="20"/>
        </w:rPr>
        <w:t xml:space="preserve"> and </w:t>
      </w:r>
      <w:r w:rsidR="00341E0F" w:rsidRPr="00E16330">
        <w:rPr>
          <w:rFonts w:ascii="Calibri" w:hAnsi="Calibri" w:cs="Arial"/>
          <w:szCs w:val="20"/>
        </w:rPr>
        <w:t xml:space="preserve">ensuring the </w:t>
      </w:r>
      <w:r w:rsidR="0021112B" w:rsidRPr="00E16330">
        <w:rPr>
          <w:rFonts w:ascii="Calibri" w:hAnsi="Calibri" w:cs="Arial"/>
          <w:szCs w:val="20"/>
        </w:rPr>
        <w:t xml:space="preserve">optimal use of resources. </w:t>
      </w:r>
    </w:p>
    <w:p w:rsidR="00783588" w:rsidRPr="00341E0F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Select, coach, develop and manage </w:t>
      </w:r>
      <w:r w:rsidR="0021112B" w:rsidRPr="00341E0F">
        <w:rPr>
          <w:rFonts w:ascii="Calibri" w:hAnsi="Calibri" w:cs="Arial"/>
          <w:szCs w:val="20"/>
        </w:rPr>
        <w:t>team members</w:t>
      </w:r>
      <w:r w:rsidRPr="00341E0F">
        <w:rPr>
          <w:rFonts w:ascii="Calibri" w:hAnsi="Calibri" w:cs="Arial"/>
          <w:szCs w:val="20"/>
        </w:rPr>
        <w:t xml:space="preserve">  </w:t>
      </w:r>
    </w:p>
    <w:p w:rsidR="00783588" w:rsidRPr="00341E0F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Actively participate in meetings and internal committees as required.</w:t>
      </w:r>
      <w:r w:rsidR="002A2254" w:rsidRPr="00341E0F">
        <w:rPr>
          <w:rFonts w:ascii="Calibri" w:hAnsi="Calibri" w:cs="Arial"/>
          <w:szCs w:val="20"/>
        </w:rPr>
        <w:t xml:space="preserve"> Attend relevant industry meetings and forums.</w:t>
      </w:r>
    </w:p>
    <w:p w:rsidR="0021112B" w:rsidRPr="00341E0F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Collaborate and seek input from specialist functions and others as required, t</w:t>
      </w:r>
      <w:r w:rsidR="0021112B" w:rsidRPr="00341E0F">
        <w:rPr>
          <w:rFonts w:ascii="Calibri" w:hAnsi="Calibri" w:cs="Arial"/>
          <w:szCs w:val="20"/>
        </w:rPr>
        <w:t>o maximise performance outcomes</w:t>
      </w:r>
    </w:p>
    <w:p w:rsidR="0021112B" w:rsidRPr="00341E0F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Be a role model and ambassador to others in setting, and upholding, the company values, culture and performance standards.</w:t>
      </w:r>
    </w:p>
    <w:p w:rsidR="0021112B" w:rsidRPr="00341E0F" w:rsidRDefault="0021112B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Instil a team culture of</w:t>
      </w:r>
      <w:r w:rsidR="009123BA">
        <w:rPr>
          <w:rFonts w:ascii="Calibri" w:hAnsi="Calibri" w:cs="Arial"/>
          <w:szCs w:val="20"/>
        </w:rPr>
        <w:t xml:space="preserve"> </w:t>
      </w:r>
      <w:r w:rsidRPr="00341E0F">
        <w:rPr>
          <w:rFonts w:ascii="Calibri" w:hAnsi="Calibri" w:cs="Arial"/>
          <w:szCs w:val="20"/>
        </w:rPr>
        <w:t>quality service delivery</w:t>
      </w:r>
      <w:r w:rsidR="009123BA">
        <w:rPr>
          <w:rFonts w:ascii="Calibri" w:hAnsi="Calibri" w:cs="Arial"/>
          <w:szCs w:val="20"/>
        </w:rPr>
        <w:t xml:space="preserve"> that is customer focused</w:t>
      </w:r>
      <w:r w:rsidRPr="00341E0F">
        <w:rPr>
          <w:rFonts w:ascii="Calibri" w:hAnsi="Calibri" w:cs="Arial"/>
          <w:szCs w:val="20"/>
        </w:rPr>
        <w:t xml:space="preserve">, industry best practice and </w:t>
      </w:r>
      <w:r w:rsidR="009123BA">
        <w:rPr>
          <w:rFonts w:ascii="Calibri" w:hAnsi="Calibri" w:cs="Arial"/>
          <w:szCs w:val="20"/>
        </w:rPr>
        <w:t xml:space="preserve">that promotes </w:t>
      </w:r>
      <w:r w:rsidRPr="00341E0F">
        <w:rPr>
          <w:rFonts w:ascii="Calibri" w:hAnsi="Calibri" w:cs="Arial"/>
          <w:szCs w:val="20"/>
        </w:rPr>
        <w:t>continuous improvement</w:t>
      </w:r>
    </w:p>
    <w:p w:rsidR="007A7C68" w:rsidRPr="007A7C68" w:rsidRDefault="0021112B" w:rsidP="004B7F3F">
      <w:pPr>
        <w:spacing w:line="23" w:lineRule="atLeast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Coaching</w:t>
      </w:r>
    </w:p>
    <w:p w:rsidR="0021112B" w:rsidRPr="00341E0F" w:rsidRDefault="0021112B" w:rsidP="00E16330">
      <w:pPr>
        <w:pStyle w:val="ListParagraph"/>
        <w:numPr>
          <w:ilvl w:val="0"/>
          <w:numId w:val="23"/>
        </w:numPr>
        <w:spacing w:after="120"/>
        <w:ind w:left="425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Undertake regular one-to-one meetings, team meetings, training and coaching sessions for all direct reports.</w:t>
      </w:r>
    </w:p>
    <w:p w:rsidR="0021112B" w:rsidRPr="00341E0F" w:rsidRDefault="0021112B" w:rsidP="00E16330">
      <w:pPr>
        <w:pStyle w:val="ListParagraph"/>
        <w:numPr>
          <w:ilvl w:val="0"/>
          <w:numId w:val="23"/>
        </w:numPr>
        <w:spacing w:after="120"/>
        <w:ind w:left="425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Manage staff, including leave allocation, </w:t>
      </w:r>
      <w:r w:rsidR="00EF1597" w:rsidRPr="00341E0F">
        <w:rPr>
          <w:rFonts w:ascii="Calibri" w:hAnsi="Calibri" w:cs="Calibri"/>
          <w:color w:val="0F243E" w:themeColor="text2" w:themeShade="80"/>
          <w:sz w:val="20"/>
        </w:rPr>
        <w:t>absenteeism</w:t>
      </w: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 and other performance and </w:t>
      </w:r>
      <w:r w:rsidR="00EF1597" w:rsidRPr="00341E0F">
        <w:rPr>
          <w:rFonts w:ascii="Calibri" w:hAnsi="Calibri" w:cs="Calibri"/>
          <w:color w:val="0F243E" w:themeColor="text2" w:themeShade="80"/>
          <w:sz w:val="20"/>
        </w:rPr>
        <w:t>behavioral</w:t>
      </w: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 related issues in line with HR </w:t>
      </w:r>
      <w:r w:rsidR="00EF1597" w:rsidRPr="00341E0F">
        <w:rPr>
          <w:rFonts w:ascii="Calibri" w:hAnsi="Calibri" w:cs="Calibri"/>
          <w:color w:val="0F243E" w:themeColor="text2" w:themeShade="80"/>
          <w:sz w:val="20"/>
        </w:rPr>
        <w:t>Policies</w:t>
      </w: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 and Procedures and GMHBA’s Enterprise Agreement</w:t>
      </w:r>
    </w:p>
    <w:p w:rsidR="0021112B" w:rsidRPr="00E16330" w:rsidRDefault="0021112B" w:rsidP="00E16330">
      <w:pPr>
        <w:pStyle w:val="ListParagraph"/>
        <w:numPr>
          <w:ilvl w:val="0"/>
          <w:numId w:val="23"/>
        </w:numPr>
        <w:spacing w:after="120"/>
        <w:ind w:left="425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Create and maintain a high performance team which achieves KPI targets by:</w:t>
      </w:r>
    </w:p>
    <w:p w:rsidR="00E16330" w:rsidRPr="00341E0F" w:rsidRDefault="00E16330" w:rsidP="00E16330">
      <w:pPr>
        <w:pStyle w:val="ListParagraph"/>
        <w:numPr>
          <w:ilvl w:val="1"/>
          <w:numId w:val="23"/>
        </w:numPr>
        <w:ind w:left="993" w:hanging="425"/>
        <w:rPr>
          <w:color w:val="0F243E" w:themeColor="text2" w:themeShade="80"/>
          <w:sz w:val="20"/>
        </w:rPr>
      </w:pPr>
      <w:r>
        <w:rPr>
          <w:rFonts w:ascii="Calibri" w:hAnsi="Calibri" w:cs="Calibri"/>
          <w:color w:val="0F243E" w:themeColor="text2" w:themeShade="80"/>
          <w:sz w:val="20"/>
        </w:rPr>
        <w:t>Working with manager to establish service levels and KPIs</w:t>
      </w:r>
    </w:p>
    <w:p w:rsidR="0021112B" w:rsidRPr="00341E0F" w:rsidRDefault="0021112B" w:rsidP="00E16330">
      <w:pPr>
        <w:pStyle w:val="ListParagraph"/>
        <w:numPr>
          <w:ilvl w:val="1"/>
          <w:numId w:val="23"/>
        </w:numPr>
        <w:ind w:left="993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Monitoring and analyzing staff performance in line with KPIs</w:t>
      </w:r>
    </w:p>
    <w:p w:rsidR="00B40156" w:rsidRPr="00341E0F" w:rsidRDefault="00EF1597" w:rsidP="00E16330">
      <w:pPr>
        <w:pStyle w:val="ListParagraph"/>
        <w:numPr>
          <w:ilvl w:val="1"/>
          <w:numId w:val="23"/>
        </w:numPr>
        <w:ind w:left="993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Undertaking</w:t>
      </w:r>
      <w:r w:rsidR="00B40156" w:rsidRPr="00341E0F">
        <w:rPr>
          <w:rFonts w:ascii="Calibri" w:hAnsi="Calibri" w:cs="Calibri"/>
          <w:color w:val="0F243E" w:themeColor="text2" w:themeShade="80"/>
          <w:sz w:val="20"/>
        </w:rPr>
        <w:t xml:space="preserve"> regular performance </w:t>
      </w:r>
      <w:r w:rsidRPr="00341E0F">
        <w:rPr>
          <w:rFonts w:ascii="Calibri" w:hAnsi="Calibri" w:cs="Calibri"/>
          <w:color w:val="0F243E" w:themeColor="text2" w:themeShade="80"/>
          <w:sz w:val="20"/>
        </w:rPr>
        <w:t>appraisals</w:t>
      </w:r>
      <w:r w:rsidR="00B40156" w:rsidRPr="00341E0F">
        <w:rPr>
          <w:rFonts w:ascii="Calibri" w:hAnsi="Calibri" w:cs="Calibri"/>
          <w:color w:val="0F243E" w:themeColor="text2" w:themeShade="80"/>
          <w:sz w:val="20"/>
        </w:rPr>
        <w:t xml:space="preserve"> and taking appropriate action where required. </w:t>
      </w:r>
    </w:p>
    <w:p w:rsidR="0021112B" w:rsidRPr="00341E0F" w:rsidRDefault="0021112B" w:rsidP="00E16330">
      <w:pPr>
        <w:pStyle w:val="ListParagraph"/>
        <w:numPr>
          <w:ilvl w:val="1"/>
          <w:numId w:val="23"/>
        </w:numPr>
        <w:ind w:left="993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Providing formal and informal coaching to achieve quality and productivity standards</w:t>
      </w:r>
      <w:r w:rsidR="009123BA">
        <w:rPr>
          <w:rFonts w:ascii="Calibri" w:hAnsi="Calibri" w:cs="Calibri"/>
          <w:color w:val="0F243E" w:themeColor="text2" w:themeShade="80"/>
          <w:sz w:val="20"/>
        </w:rPr>
        <w:t>, f</w:t>
      </w:r>
      <w:r w:rsidRPr="00341E0F">
        <w:rPr>
          <w:rFonts w:ascii="Calibri" w:hAnsi="Calibri" w:cs="Calibri"/>
          <w:color w:val="0F243E" w:themeColor="text2" w:themeShade="80"/>
          <w:sz w:val="20"/>
        </w:rPr>
        <w:t>ostering open and ongoing communication</w:t>
      </w:r>
    </w:p>
    <w:p w:rsidR="0021112B" w:rsidRPr="00341E0F" w:rsidRDefault="0021112B" w:rsidP="00E16330">
      <w:pPr>
        <w:pStyle w:val="ListParagraph"/>
        <w:numPr>
          <w:ilvl w:val="1"/>
          <w:numId w:val="23"/>
        </w:numPr>
        <w:ind w:left="993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Recognizing and rewarding excellent performance </w:t>
      </w:r>
    </w:p>
    <w:p w:rsidR="0021112B" w:rsidRPr="00341E0F" w:rsidRDefault="0021112B" w:rsidP="00E16330">
      <w:pPr>
        <w:pStyle w:val="ListParagraph"/>
        <w:numPr>
          <w:ilvl w:val="1"/>
          <w:numId w:val="23"/>
        </w:numPr>
        <w:spacing w:after="120"/>
        <w:ind w:left="993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Developing motivational tools to help team members to meet and exceed targets.  </w:t>
      </w:r>
    </w:p>
    <w:p w:rsidR="00B40156" w:rsidRPr="00341E0F" w:rsidRDefault="00B40156" w:rsidP="00E16330">
      <w:pPr>
        <w:pStyle w:val="ListParagraph"/>
        <w:numPr>
          <w:ilvl w:val="0"/>
          <w:numId w:val="23"/>
        </w:numPr>
        <w:spacing w:after="120"/>
        <w:ind w:left="425" w:hanging="425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Work with other Team Coaches to ensure the achievement of all KPIs through:</w:t>
      </w:r>
    </w:p>
    <w:p w:rsidR="00E16330" w:rsidRPr="00E16330" w:rsidRDefault="00B40156" w:rsidP="00E16330">
      <w:pPr>
        <w:pStyle w:val="ListParagraph"/>
        <w:numPr>
          <w:ilvl w:val="3"/>
          <w:numId w:val="23"/>
        </w:numPr>
        <w:tabs>
          <w:tab w:val="clear" w:pos="2520"/>
        </w:tabs>
        <w:ind w:left="993" w:hanging="426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Continuously monitoring operations and addressing as appropriate</w:t>
      </w:r>
    </w:p>
    <w:p w:rsidR="00B40156" w:rsidRPr="00E16330" w:rsidRDefault="00B40156" w:rsidP="00E16330">
      <w:pPr>
        <w:pStyle w:val="ListParagraph"/>
        <w:numPr>
          <w:ilvl w:val="3"/>
          <w:numId w:val="23"/>
        </w:numPr>
        <w:tabs>
          <w:tab w:val="clear" w:pos="2520"/>
        </w:tabs>
        <w:ind w:left="993" w:hanging="426"/>
        <w:rPr>
          <w:color w:val="0F243E" w:themeColor="text2" w:themeShade="80"/>
          <w:sz w:val="20"/>
        </w:rPr>
      </w:pPr>
      <w:r w:rsidRPr="00E16330">
        <w:rPr>
          <w:rFonts w:ascii="Calibri" w:hAnsi="Calibri" w:cs="Calibri"/>
          <w:color w:val="0F243E" w:themeColor="text2" w:themeShade="80"/>
          <w:sz w:val="20"/>
        </w:rPr>
        <w:t>Assisting CSA</w:t>
      </w:r>
      <w:r w:rsidR="00E16330">
        <w:rPr>
          <w:rFonts w:ascii="Calibri" w:hAnsi="Calibri" w:cs="Calibri"/>
          <w:color w:val="0F243E" w:themeColor="text2" w:themeShade="80"/>
          <w:sz w:val="20"/>
        </w:rPr>
        <w:t xml:space="preserve"> with</w:t>
      </w:r>
      <w:r w:rsidRPr="00E16330">
        <w:rPr>
          <w:rFonts w:ascii="Calibri" w:hAnsi="Calibri" w:cs="Calibri"/>
          <w:color w:val="0F243E" w:themeColor="text2" w:themeShade="80"/>
          <w:sz w:val="20"/>
        </w:rPr>
        <w:t xml:space="preserve"> queries in a timely fashion</w:t>
      </w:r>
    </w:p>
    <w:p w:rsidR="00B40156" w:rsidRPr="00341E0F" w:rsidRDefault="00B40156" w:rsidP="00E16330">
      <w:pPr>
        <w:pStyle w:val="ListParagraph"/>
        <w:numPr>
          <w:ilvl w:val="2"/>
          <w:numId w:val="23"/>
        </w:numPr>
        <w:spacing w:line="23" w:lineRule="atLeast"/>
        <w:ind w:left="993" w:hanging="426"/>
        <w:contextualSpacing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lastRenderedPageBreak/>
        <w:t xml:space="preserve">Monitor </w:t>
      </w:r>
      <w:r w:rsidR="00EF1597" w:rsidRPr="00341E0F">
        <w:rPr>
          <w:rFonts w:ascii="Calibri" w:hAnsi="Calibri" w:cs="Calibri"/>
          <w:color w:val="0F243E" w:themeColor="text2" w:themeShade="80"/>
          <w:sz w:val="20"/>
        </w:rPr>
        <w:t>team</w:t>
      </w: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 activities, identify opportunities for continuous improvement, communicate results and </w:t>
      </w:r>
      <w:r w:rsidR="00EF1597" w:rsidRPr="00341E0F">
        <w:rPr>
          <w:rFonts w:ascii="Calibri" w:hAnsi="Calibri" w:cs="Calibri"/>
          <w:color w:val="0F243E" w:themeColor="text2" w:themeShade="80"/>
          <w:sz w:val="20"/>
        </w:rPr>
        <w:t>recommendations</w:t>
      </w:r>
    </w:p>
    <w:p w:rsidR="00E16330" w:rsidRDefault="00E16330" w:rsidP="004B7F3F">
      <w:pPr>
        <w:spacing w:line="23" w:lineRule="atLeast"/>
        <w:jc w:val="both"/>
        <w:rPr>
          <w:rFonts w:ascii="Calibri" w:hAnsi="Calibri" w:cs="Arial"/>
          <w:b/>
          <w:szCs w:val="20"/>
        </w:rPr>
      </w:pPr>
    </w:p>
    <w:p w:rsidR="007A7C68" w:rsidRPr="007A7C68" w:rsidRDefault="00B40156" w:rsidP="004B7F3F">
      <w:pPr>
        <w:spacing w:line="23" w:lineRule="atLeast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Operations</w:t>
      </w:r>
    </w:p>
    <w:p w:rsidR="00B40156" w:rsidRPr="00341E0F" w:rsidRDefault="00B40156" w:rsidP="00E16330">
      <w:pPr>
        <w:pStyle w:val="ListParagraph"/>
        <w:numPr>
          <w:ilvl w:val="0"/>
          <w:numId w:val="23"/>
        </w:numPr>
        <w:spacing w:after="120" w:line="23" w:lineRule="atLeast"/>
        <w:ind w:left="357" w:hanging="357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Ensure back office operations are appropriately resourced with trained and competent staff to ensure corporate goals and objectives are met.</w:t>
      </w:r>
    </w:p>
    <w:p w:rsidR="00B40156" w:rsidRPr="009123BA" w:rsidRDefault="00B40156" w:rsidP="00E16330">
      <w:pPr>
        <w:pStyle w:val="ListParagraph"/>
        <w:numPr>
          <w:ilvl w:val="0"/>
          <w:numId w:val="23"/>
        </w:numPr>
        <w:spacing w:after="120" w:line="23" w:lineRule="atLeast"/>
        <w:ind w:left="357" w:hanging="357"/>
        <w:rPr>
          <w:color w:val="0F243E" w:themeColor="text2" w:themeShade="80"/>
          <w:sz w:val="20"/>
        </w:rPr>
      </w:pPr>
      <w:r w:rsidRPr="00341E0F">
        <w:rPr>
          <w:rFonts w:ascii="Calibri" w:hAnsi="Calibri" w:cs="Calibri"/>
          <w:color w:val="0F243E" w:themeColor="text2" w:themeShade="80"/>
          <w:sz w:val="20"/>
        </w:rPr>
        <w:t>Continually review department processes with the aim of improving efficiency</w:t>
      </w:r>
      <w:r w:rsidR="009123BA">
        <w:rPr>
          <w:rFonts w:ascii="Calibri" w:hAnsi="Calibri" w:cs="Calibri"/>
          <w:color w:val="0F243E" w:themeColor="text2" w:themeShade="80"/>
          <w:sz w:val="20"/>
        </w:rPr>
        <w:t xml:space="preserve">, customer outcomes </w:t>
      </w:r>
      <w:r w:rsidRPr="00341E0F">
        <w:rPr>
          <w:rFonts w:ascii="Calibri" w:hAnsi="Calibri" w:cs="Calibri"/>
          <w:color w:val="0F243E" w:themeColor="text2" w:themeShade="80"/>
          <w:sz w:val="20"/>
        </w:rPr>
        <w:t>and delivery</w:t>
      </w:r>
      <w:r w:rsidR="009123BA">
        <w:rPr>
          <w:rFonts w:ascii="Calibri" w:hAnsi="Calibri" w:cs="Calibri"/>
          <w:color w:val="0F243E" w:themeColor="text2" w:themeShade="80"/>
          <w:sz w:val="20"/>
        </w:rPr>
        <w:t xml:space="preserve"> to</w:t>
      </w:r>
      <w:r w:rsidRPr="00341E0F">
        <w:rPr>
          <w:rFonts w:ascii="Calibri" w:hAnsi="Calibri" w:cs="Calibri"/>
          <w:color w:val="0F243E" w:themeColor="text2" w:themeShade="80"/>
          <w:sz w:val="20"/>
        </w:rPr>
        <w:t xml:space="preserve"> the required business service levels.</w:t>
      </w:r>
    </w:p>
    <w:p w:rsidR="009123BA" w:rsidRPr="00341E0F" w:rsidRDefault="009123BA" w:rsidP="00E16330">
      <w:pPr>
        <w:pStyle w:val="ListParagraph"/>
        <w:numPr>
          <w:ilvl w:val="0"/>
          <w:numId w:val="23"/>
        </w:numPr>
        <w:spacing w:after="120" w:line="23" w:lineRule="atLeast"/>
        <w:ind w:left="357" w:hanging="357"/>
        <w:rPr>
          <w:color w:val="0F243E" w:themeColor="text2" w:themeShade="80"/>
          <w:sz w:val="20"/>
        </w:rPr>
      </w:pPr>
      <w:r>
        <w:rPr>
          <w:rFonts w:ascii="Calibri" w:hAnsi="Calibri" w:cs="Calibri"/>
          <w:color w:val="0F243E" w:themeColor="text2" w:themeShade="80"/>
          <w:sz w:val="20"/>
        </w:rPr>
        <w:t>Continually review department processes for any customer problems that need to be remediated and ensure appropriate stakeholder communications regarding these.</w:t>
      </w:r>
    </w:p>
    <w:p w:rsidR="007A7C68" w:rsidRPr="00341E0F" w:rsidRDefault="007A7C68" w:rsidP="00E16330">
      <w:pPr>
        <w:pStyle w:val="ListParagraph"/>
        <w:spacing w:after="120" w:line="23" w:lineRule="atLeast"/>
        <w:ind w:left="360"/>
        <w:rPr>
          <w:color w:val="0F243E" w:themeColor="text2" w:themeShade="80"/>
          <w:sz w:val="20"/>
        </w:rPr>
      </w:pPr>
    </w:p>
    <w:p w:rsidR="007A7C68" w:rsidRPr="007A7C68" w:rsidRDefault="00341E0F" w:rsidP="004B7F3F">
      <w:pPr>
        <w:spacing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Regulatory &amp; Reporting</w:t>
      </w:r>
    </w:p>
    <w:p w:rsidR="00F72131" w:rsidRPr="00341E0F" w:rsidRDefault="00F72131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bookmarkStart w:id="1" w:name="_Hlk504115606"/>
      <w:r w:rsidRPr="00341E0F">
        <w:rPr>
          <w:rFonts w:ascii="Calibri" w:hAnsi="Calibri" w:cs="Arial"/>
          <w:szCs w:val="20"/>
        </w:rPr>
        <w:t>Ensure compliance with the Company’s Delegated Authorities, Business Plan, Policies and Standards.</w:t>
      </w:r>
    </w:p>
    <w:p w:rsidR="00F72131" w:rsidRDefault="002A2254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Ensure all </w:t>
      </w:r>
      <w:r w:rsidR="00B75F90">
        <w:rPr>
          <w:rFonts w:ascii="Calibri" w:hAnsi="Calibri" w:cs="Arial"/>
          <w:szCs w:val="20"/>
        </w:rPr>
        <w:t>processes</w:t>
      </w:r>
      <w:r w:rsidRPr="00341E0F">
        <w:rPr>
          <w:rFonts w:ascii="Calibri" w:hAnsi="Calibri" w:cs="Arial"/>
          <w:szCs w:val="20"/>
        </w:rPr>
        <w:t xml:space="preserve"> comply with</w:t>
      </w:r>
      <w:r w:rsidR="00B75F90">
        <w:rPr>
          <w:rFonts w:ascii="Calibri" w:hAnsi="Calibri" w:cs="Arial"/>
          <w:szCs w:val="20"/>
        </w:rPr>
        <w:t xml:space="preserve"> internal audit, external audit, regulatory and </w:t>
      </w:r>
      <w:r w:rsidRPr="00341E0F">
        <w:rPr>
          <w:rFonts w:ascii="Calibri" w:hAnsi="Calibri" w:cs="Arial"/>
          <w:szCs w:val="20"/>
        </w:rPr>
        <w:t>code of conduct requirements.</w:t>
      </w:r>
    </w:p>
    <w:p w:rsidR="00F72131" w:rsidRPr="00341E0F" w:rsidRDefault="00F72131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Keep up to date with regulatory trend</w:t>
      </w:r>
      <w:r w:rsidR="002A2254" w:rsidRPr="00341E0F">
        <w:rPr>
          <w:rFonts w:ascii="Calibri" w:hAnsi="Calibri" w:cs="Arial"/>
          <w:szCs w:val="20"/>
        </w:rPr>
        <w:t xml:space="preserve">s and changes, and ensure the department </w:t>
      </w:r>
      <w:r w:rsidRPr="00341E0F">
        <w:rPr>
          <w:rFonts w:ascii="Calibri" w:hAnsi="Calibri" w:cs="Arial"/>
          <w:szCs w:val="20"/>
        </w:rPr>
        <w:t>anticipates and navigates changes successfully.</w:t>
      </w:r>
    </w:p>
    <w:p w:rsidR="00F72131" w:rsidRPr="00341E0F" w:rsidRDefault="00F72131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Prepare reports and submissions for stakeholders and committees as required.</w:t>
      </w:r>
    </w:p>
    <w:p w:rsidR="00EF1597" w:rsidRPr="00061ACD" w:rsidRDefault="00EF1597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Complete all audits and fraud checks as required. Present findings and resolutions in required format</w:t>
      </w:r>
      <w:r>
        <w:rPr>
          <w:rFonts w:ascii="Calibri" w:hAnsi="Calibri" w:cs="Arial"/>
          <w:szCs w:val="20"/>
        </w:rPr>
        <w:t xml:space="preserve">. </w:t>
      </w:r>
    </w:p>
    <w:bookmarkEnd w:id="1"/>
    <w:p w:rsidR="00E16330" w:rsidRDefault="00E16330" w:rsidP="004B7F3F">
      <w:pPr>
        <w:spacing w:line="23" w:lineRule="atLeast"/>
        <w:rPr>
          <w:rFonts w:ascii="Calibri" w:hAnsi="Calibri" w:cs="Arial"/>
          <w:b/>
          <w:szCs w:val="20"/>
        </w:rPr>
      </w:pPr>
    </w:p>
    <w:p w:rsidR="007A7C68" w:rsidRPr="007A7C68" w:rsidRDefault="00E16330" w:rsidP="004B7F3F">
      <w:pPr>
        <w:spacing w:line="23" w:lineRule="atLeast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Stakeholders &amp; Advice</w:t>
      </w:r>
    </w:p>
    <w:p w:rsidR="007A7C68" w:rsidRPr="007A7C68" w:rsidRDefault="007A7C68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>Provide expert advice and recommendations to key stakeholders to facilitate understanding for robust decision making.</w:t>
      </w:r>
    </w:p>
    <w:p w:rsidR="007A7C68" w:rsidRPr="00341E0F" w:rsidRDefault="007A7C68" w:rsidP="00E16330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Take opportunities to maintain positive and constructive relationships with regulators, auditors and other external stakeholders.  </w:t>
      </w:r>
    </w:p>
    <w:p w:rsidR="007A7C68" w:rsidRPr="007A7C68" w:rsidRDefault="007A7C68" w:rsidP="004B7F3F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:rsidR="007A7C68" w:rsidRPr="00341E0F" w:rsidRDefault="007A7C68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Participate in the design, build and roll-out of business change programs designed to strengthen </w:t>
      </w:r>
      <w:r w:rsidR="0065631C" w:rsidRPr="00341E0F">
        <w:rPr>
          <w:rFonts w:ascii="Calibri" w:hAnsi="Calibri" w:cs="Arial"/>
          <w:szCs w:val="20"/>
        </w:rPr>
        <w:t>GMHBA’s</w:t>
      </w:r>
      <w:r w:rsidRPr="00341E0F">
        <w:rPr>
          <w:rFonts w:ascii="Calibri" w:hAnsi="Calibri" w:cs="Arial"/>
          <w:szCs w:val="20"/>
        </w:rPr>
        <w:t xml:space="preserve"> </w:t>
      </w:r>
      <w:r w:rsidR="0065631C" w:rsidRPr="00341E0F">
        <w:rPr>
          <w:rFonts w:ascii="Calibri" w:hAnsi="Calibri" w:cs="Arial"/>
          <w:szCs w:val="20"/>
        </w:rPr>
        <w:t>performance</w:t>
      </w:r>
    </w:p>
    <w:p w:rsidR="00D149D1" w:rsidRPr="00341E0F" w:rsidRDefault="00D149D1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Embrace the mindset and actively contribute towards embedding the GMHBA Way </w:t>
      </w:r>
      <w:r w:rsidR="00CD3E1E" w:rsidRPr="00341E0F">
        <w:rPr>
          <w:rFonts w:ascii="Calibri" w:hAnsi="Calibri" w:cs="Arial"/>
          <w:szCs w:val="20"/>
        </w:rPr>
        <w:t>including</w:t>
      </w:r>
      <w:r w:rsidRPr="00341E0F">
        <w:rPr>
          <w:rFonts w:ascii="Calibri" w:hAnsi="Calibri" w:cs="Arial"/>
          <w:szCs w:val="20"/>
        </w:rPr>
        <w:t xml:space="preserve"> working in an Agile environment.</w:t>
      </w:r>
    </w:p>
    <w:p w:rsidR="0065631C" w:rsidRPr="00341E0F" w:rsidRDefault="0065631C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:rsidR="006F3E42" w:rsidRPr="0065631C" w:rsidRDefault="006F3E42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The accountabilities described within may be altered in accordance with the changing requirements of the role.  </w:t>
      </w:r>
    </w:p>
    <w:p w:rsidR="00341E0F" w:rsidRDefault="00341E0F" w:rsidP="0021429C">
      <w:pPr>
        <w:spacing w:after="0"/>
        <w:rPr>
          <w:b/>
          <w:color w:val="00A6E2"/>
          <w:sz w:val="22"/>
          <w:lang w:val="en-US"/>
        </w:rPr>
      </w:pPr>
    </w:p>
    <w:p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1429C" w:rsidTr="00CC512D">
        <w:tc>
          <w:tcPr>
            <w:tcW w:w="4981" w:type="dxa"/>
          </w:tcPr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  <w:r w:rsidRPr="00341E0F">
              <w:rPr>
                <w:b/>
                <w:szCs w:val="20"/>
                <w:lang w:val="en-US"/>
              </w:rPr>
              <w:t>Internal: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Regional Managers, Team Coaches &amp; Branch Managers</w:t>
            </w:r>
          </w:p>
          <w:p w:rsidR="00EF1597" w:rsidRDefault="00D24E04" w:rsidP="00EF159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Customer </w:t>
            </w:r>
            <w:r w:rsidR="00B75F90">
              <w:rPr>
                <w:rFonts w:asciiTheme="minorHAnsi" w:hAnsiTheme="minorHAnsi"/>
                <w:color w:val="0F243E" w:themeColor="text2" w:themeShade="80"/>
                <w:sz w:val="20"/>
              </w:rPr>
              <w:t>Contact Centers</w:t>
            </w:r>
          </w:p>
          <w:p w:rsidR="00B75F90" w:rsidRPr="00341E0F" w:rsidRDefault="00B75F90" w:rsidP="00EF159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Client relationship management team</w:t>
            </w:r>
          </w:p>
          <w:p w:rsidR="00EF1597" w:rsidRDefault="00EF1597" w:rsidP="00EF159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Shared Services functions</w:t>
            </w:r>
            <w:r w:rsidR="002A2254"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</w:t>
            </w:r>
            <w:proofErr w:type="spellStart"/>
            <w:r w:rsidR="002A2254"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e.g</w:t>
            </w:r>
            <w:proofErr w:type="spellEnd"/>
            <w:r w:rsidR="002A2254"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IT, P&amp;C</w:t>
            </w:r>
          </w:p>
          <w:p w:rsidR="00B75F90" w:rsidRPr="00341E0F" w:rsidRDefault="00B75F90" w:rsidP="00B75F90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Customer Experience Team</w:t>
            </w:r>
          </w:p>
          <w:p w:rsidR="0021429C" w:rsidRPr="00B75F90" w:rsidRDefault="00B75F90" w:rsidP="00EF159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Benefits Management</w:t>
            </w:r>
          </w:p>
          <w:p w:rsidR="0021429C" w:rsidRPr="00341E0F" w:rsidRDefault="0021429C" w:rsidP="00CC512D">
            <w:pPr>
              <w:pStyle w:val="ListParagraph"/>
              <w:spacing w:after="120"/>
              <w:ind w:left="771"/>
              <w:rPr>
                <w:rFonts w:asciiTheme="minorHAnsi" w:hAnsiTheme="minorHAnsi"/>
                <w:b/>
                <w:color w:val="0F243E" w:themeColor="text2" w:themeShade="80"/>
                <w:sz w:val="20"/>
              </w:rPr>
            </w:pPr>
          </w:p>
        </w:tc>
        <w:tc>
          <w:tcPr>
            <w:tcW w:w="4981" w:type="dxa"/>
          </w:tcPr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  <w:r w:rsidRPr="00341E0F">
              <w:rPr>
                <w:b/>
                <w:szCs w:val="20"/>
                <w:lang w:val="en-US"/>
              </w:rPr>
              <w:t>External: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GMHBA Members &amp; Prospects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GMHBA Providers 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Medicare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AHSA / Hambs</w:t>
            </w:r>
          </w:p>
          <w:p w:rsidR="00EF1597" w:rsidRPr="00341E0F" w:rsidRDefault="00B75F90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External </w:t>
            </w:r>
            <w:r w:rsidR="00EF1597"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Auditors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8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GMHBA White Label Partners</w:t>
            </w:r>
          </w:p>
          <w:p w:rsidR="00EF1597" w:rsidRPr="00341E0F" w:rsidRDefault="00EF1597" w:rsidP="00EF1597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color w:val="0F243E" w:themeColor="text2" w:themeShade="80"/>
                <w:sz w:val="20"/>
              </w:rPr>
            </w:pP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Department of Health and Ageing (</w:t>
            </w:r>
            <w:proofErr w:type="spellStart"/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DoHA</w:t>
            </w:r>
            <w:proofErr w:type="spellEnd"/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>)</w:t>
            </w:r>
          </w:p>
          <w:p w:rsidR="0021429C" w:rsidRPr="00341E0F" w:rsidRDefault="0021429C" w:rsidP="00EF1597">
            <w:pPr>
              <w:spacing w:line="276" w:lineRule="auto"/>
              <w:contextualSpacing/>
              <w:rPr>
                <w:bCs/>
                <w:i/>
              </w:rPr>
            </w:pPr>
          </w:p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</w:p>
        </w:tc>
      </w:tr>
    </w:tbl>
    <w:p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lastRenderedPageBreak/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Mandatory</w:t>
      </w:r>
    </w:p>
    <w:p w:rsidR="00F94D3A" w:rsidRDefault="00EF1597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experience in customer service background</w:t>
      </w:r>
    </w:p>
    <w:p w:rsidR="00EF1597" w:rsidRDefault="007752F4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Experience leading operations or process delivery teams</w:t>
      </w:r>
    </w:p>
    <w:p w:rsidR="00341E0F" w:rsidRDefault="00341E0F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Strong people leadership skills</w:t>
      </w:r>
    </w:p>
    <w:p w:rsidR="00B75F90" w:rsidRDefault="00B75F90" w:rsidP="00B75F90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Ability to adapt to and lead change</w:t>
      </w:r>
    </w:p>
    <w:p w:rsidR="00B75F90" w:rsidRDefault="00B75F90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ability to quickly build technical process knowledge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Highly desirable</w:t>
      </w:r>
      <w:r w:rsidR="008167FE">
        <w:rPr>
          <w:b/>
          <w:bCs/>
          <w:szCs w:val="20"/>
          <w:lang w:val="en-US"/>
        </w:rPr>
        <w:t xml:space="preserve"> </w:t>
      </w:r>
    </w:p>
    <w:p w:rsidR="00F94D3A" w:rsidRDefault="00EF1597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Tertiary Qualifications in business, commerce or a related discipline.</w:t>
      </w:r>
    </w:p>
    <w:p w:rsidR="007752F4" w:rsidRDefault="007752F4" w:rsidP="007752F4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knowledge of back office functions and operations</w:t>
      </w:r>
    </w:p>
    <w:p w:rsidR="007752F4" w:rsidRPr="007752F4" w:rsidRDefault="007752F4" w:rsidP="007752F4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7752F4"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experience in health</w:t>
      </w:r>
      <w:r w:rsidR="00B75F90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or insurance </w:t>
      </w:r>
      <w:r w:rsidRPr="007752F4">
        <w:rPr>
          <w:rFonts w:asciiTheme="minorHAnsi" w:hAnsiTheme="minorHAnsi" w:cstheme="minorHAnsi"/>
          <w:bCs/>
          <w:color w:val="0F243E" w:themeColor="text2" w:themeShade="80"/>
          <w:sz w:val="20"/>
        </w:rPr>
        <w:t>related field</w:t>
      </w:r>
    </w:p>
    <w:p w:rsidR="007752F4" w:rsidRDefault="002A2254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Good understanding of process management methodologies</w:t>
      </w:r>
    </w:p>
    <w:p w:rsidR="002A2254" w:rsidRDefault="002A2254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Experience in management of diverse stakeholders</w:t>
      </w:r>
    </w:p>
    <w:p w:rsidR="002A2254" w:rsidRPr="00B47A89" w:rsidRDefault="00341E0F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Experience working in an Agile environment</w:t>
      </w:r>
    </w:p>
    <w:p w:rsidR="00F94D3A" w:rsidRDefault="00F94D3A" w:rsidP="00F94D3A">
      <w:pPr>
        <w:pStyle w:val="ListParagraph"/>
        <w:jc w:val="both"/>
        <w:rPr>
          <w:color w:val="0F243E" w:themeColor="text2" w:themeShade="80"/>
        </w:rPr>
      </w:pPr>
    </w:p>
    <w:p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9"/>
      <w:footerReference w:type="default" r:id="rId10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CE" w:rsidRDefault="00E83FCE" w:rsidP="00EC0D20">
      <w:pPr>
        <w:spacing w:after="0" w:line="240" w:lineRule="auto"/>
      </w:pPr>
      <w:r>
        <w:separator/>
      </w:r>
    </w:p>
  </w:endnote>
  <w:endnote w:type="continuationSeparator" w:id="0">
    <w:p w:rsidR="00E83FCE" w:rsidRDefault="00E83FCE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4" w:rsidRDefault="00B706C4">
    <w:pPr>
      <w:pStyle w:val="Footer"/>
      <w:rPr>
        <w:sz w:val="16"/>
        <w:szCs w:val="16"/>
      </w:rPr>
    </w:pPr>
  </w:p>
  <w:p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341E0F">
      <w:rPr>
        <w:sz w:val="16"/>
        <w:szCs w:val="16"/>
      </w:rPr>
      <w:t>22/03/2018</w:t>
    </w:r>
  </w:p>
  <w:p w:rsidR="00EF1F2E" w:rsidRDefault="0003642C" w:rsidP="0003642C">
    <w:pPr>
      <w:spacing w:after="0"/>
      <w:jc w:val="right"/>
    </w:pPr>
    <w:r w:rsidRPr="005F4FE9">
      <w:rPr>
        <w:b/>
        <w:color w:val="00A6E2"/>
        <w:sz w:val="22"/>
        <w:lang w:val="en-US"/>
      </w:rPr>
      <w:t xml:space="preserve">Our Values </w:t>
    </w:r>
    <w:r w:rsidRPr="005F4FE9">
      <w:rPr>
        <w:szCs w:val="20"/>
        <w:lang w:val="en-US"/>
      </w:rPr>
      <w:t xml:space="preserve">Trust, Enjoy, </w:t>
    </w:r>
    <w:r>
      <w:rPr>
        <w:szCs w:val="20"/>
        <w:lang w:val="en-US"/>
      </w:rPr>
      <w:t>Contribute</w:t>
    </w:r>
    <w:r w:rsidRPr="005F4FE9">
      <w:rPr>
        <w:szCs w:val="20"/>
        <w:lang w:val="en-US"/>
      </w:rPr>
      <w:t>, Service, Improve, Succeed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CE" w:rsidRDefault="00E83FCE" w:rsidP="00EC0D20">
      <w:pPr>
        <w:spacing w:after="0" w:line="240" w:lineRule="auto"/>
      </w:pPr>
      <w:r>
        <w:separator/>
      </w:r>
    </w:p>
  </w:footnote>
  <w:footnote w:type="continuationSeparator" w:id="0">
    <w:p w:rsidR="00E83FCE" w:rsidRDefault="00E83FCE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F35BFF0" wp14:editId="6C110EA3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A7F94"/>
    <w:multiLevelType w:val="hybridMultilevel"/>
    <w:tmpl w:val="4E544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4255165"/>
    <w:multiLevelType w:val="hybridMultilevel"/>
    <w:tmpl w:val="DC928A7E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993B48"/>
    <w:multiLevelType w:val="hybridMultilevel"/>
    <w:tmpl w:val="08FC01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187"/>
    <w:multiLevelType w:val="hybridMultilevel"/>
    <w:tmpl w:val="4E5A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A5C08"/>
    <w:multiLevelType w:val="hybridMultilevel"/>
    <w:tmpl w:val="AC001E50"/>
    <w:lvl w:ilvl="0" w:tplc="34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E40F6"/>
    <w:multiLevelType w:val="hybridMultilevel"/>
    <w:tmpl w:val="B4163F6C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C250F"/>
    <w:multiLevelType w:val="hybridMultilevel"/>
    <w:tmpl w:val="C0F2BD80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21"/>
  </w:num>
  <w:num w:numId="5">
    <w:abstractNumId w:val="5"/>
  </w:num>
  <w:num w:numId="6">
    <w:abstractNumId w:val="12"/>
  </w:num>
  <w:num w:numId="7">
    <w:abstractNumId w:val="28"/>
  </w:num>
  <w:num w:numId="8">
    <w:abstractNumId w:val="31"/>
  </w:num>
  <w:num w:numId="9">
    <w:abstractNumId w:val="22"/>
  </w:num>
  <w:num w:numId="10">
    <w:abstractNumId w:val="0"/>
  </w:num>
  <w:num w:numId="11">
    <w:abstractNumId w:val="11"/>
  </w:num>
  <w:num w:numId="12">
    <w:abstractNumId w:val="19"/>
  </w:num>
  <w:num w:numId="13">
    <w:abstractNumId w:val="1"/>
  </w:num>
  <w:num w:numId="14">
    <w:abstractNumId w:val="18"/>
  </w:num>
  <w:num w:numId="15">
    <w:abstractNumId w:val="16"/>
  </w:num>
  <w:num w:numId="16">
    <w:abstractNumId w:val="30"/>
  </w:num>
  <w:num w:numId="17">
    <w:abstractNumId w:val="25"/>
  </w:num>
  <w:num w:numId="18">
    <w:abstractNumId w:val="14"/>
  </w:num>
  <w:num w:numId="19">
    <w:abstractNumId w:val="17"/>
  </w:num>
  <w:num w:numId="20">
    <w:abstractNumId w:val="15"/>
  </w:num>
  <w:num w:numId="21">
    <w:abstractNumId w:val="29"/>
  </w:num>
  <w:num w:numId="22">
    <w:abstractNumId w:val="24"/>
  </w:num>
  <w:num w:numId="23">
    <w:abstractNumId w:val="7"/>
  </w:num>
  <w:num w:numId="24">
    <w:abstractNumId w:val="8"/>
  </w:num>
  <w:num w:numId="25">
    <w:abstractNumId w:val="6"/>
  </w:num>
  <w:num w:numId="26">
    <w:abstractNumId w:val="9"/>
  </w:num>
  <w:num w:numId="27">
    <w:abstractNumId w:val="23"/>
  </w:num>
  <w:num w:numId="28">
    <w:abstractNumId w:val="27"/>
  </w:num>
  <w:num w:numId="29">
    <w:abstractNumId w:val="10"/>
  </w:num>
  <w:num w:numId="30">
    <w:abstractNumId w:val="20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0"/>
    <w:rsid w:val="000055D9"/>
    <w:rsid w:val="0003642C"/>
    <w:rsid w:val="00041946"/>
    <w:rsid w:val="00056004"/>
    <w:rsid w:val="00064A26"/>
    <w:rsid w:val="0007708B"/>
    <w:rsid w:val="000B0C48"/>
    <w:rsid w:val="001112B6"/>
    <w:rsid w:val="00114519"/>
    <w:rsid w:val="001160C7"/>
    <w:rsid w:val="001175FA"/>
    <w:rsid w:val="00152F22"/>
    <w:rsid w:val="001872FC"/>
    <w:rsid w:val="001A23C0"/>
    <w:rsid w:val="001A3B52"/>
    <w:rsid w:val="001C0447"/>
    <w:rsid w:val="001C0B21"/>
    <w:rsid w:val="001E3D85"/>
    <w:rsid w:val="00210667"/>
    <w:rsid w:val="002110E7"/>
    <w:rsid w:val="0021112B"/>
    <w:rsid w:val="00212C28"/>
    <w:rsid w:val="0021429C"/>
    <w:rsid w:val="002562C8"/>
    <w:rsid w:val="00263CE4"/>
    <w:rsid w:val="00290A7F"/>
    <w:rsid w:val="0029160A"/>
    <w:rsid w:val="002A2254"/>
    <w:rsid w:val="002A42D0"/>
    <w:rsid w:val="002B31C6"/>
    <w:rsid w:val="002D3439"/>
    <w:rsid w:val="003351AA"/>
    <w:rsid w:val="00336F77"/>
    <w:rsid w:val="00341E0F"/>
    <w:rsid w:val="00350D2B"/>
    <w:rsid w:val="003521C2"/>
    <w:rsid w:val="00361923"/>
    <w:rsid w:val="003762F4"/>
    <w:rsid w:val="003773EC"/>
    <w:rsid w:val="00382D96"/>
    <w:rsid w:val="003A7627"/>
    <w:rsid w:val="003E15A8"/>
    <w:rsid w:val="003E26E6"/>
    <w:rsid w:val="003E2B84"/>
    <w:rsid w:val="00412427"/>
    <w:rsid w:val="00435D88"/>
    <w:rsid w:val="004841EB"/>
    <w:rsid w:val="00491349"/>
    <w:rsid w:val="00491C84"/>
    <w:rsid w:val="004B2DA2"/>
    <w:rsid w:val="004B7F3F"/>
    <w:rsid w:val="004C4407"/>
    <w:rsid w:val="004C5071"/>
    <w:rsid w:val="004C5467"/>
    <w:rsid w:val="004C7C85"/>
    <w:rsid w:val="004D01CE"/>
    <w:rsid w:val="004E1F88"/>
    <w:rsid w:val="005228F0"/>
    <w:rsid w:val="00526AE9"/>
    <w:rsid w:val="00536EC0"/>
    <w:rsid w:val="00555FD3"/>
    <w:rsid w:val="005847F3"/>
    <w:rsid w:val="005A53D6"/>
    <w:rsid w:val="005D3004"/>
    <w:rsid w:val="005F1599"/>
    <w:rsid w:val="005F4FE9"/>
    <w:rsid w:val="00604D1D"/>
    <w:rsid w:val="00607EC5"/>
    <w:rsid w:val="00620244"/>
    <w:rsid w:val="0065411A"/>
    <w:rsid w:val="0065631C"/>
    <w:rsid w:val="00661734"/>
    <w:rsid w:val="006A60C0"/>
    <w:rsid w:val="006B330C"/>
    <w:rsid w:val="006C3647"/>
    <w:rsid w:val="006D5EF7"/>
    <w:rsid w:val="006F0924"/>
    <w:rsid w:val="006F3E42"/>
    <w:rsid w:val="006F6633"/>
    <w:rsid w:val="007167FA"/>
    <w:rsid w:val="007222B1"/>
    <w:rsid w:val="007227FE"/>
    <w:rsid w:val="007607F3"/>
    <w:rsid w:val="007752F4"/>
    <w:rsid w:val="00775FB9"/>
    <w:rsid w:val="00783588"/>
    <w:rsid w:val="0078524E"/>
    <w:rsid w:val="007A0F90"/>
    <w:rsid w:val="007A7C68"/>
    <w:rsid w:val="007C6A05"/>
    <w:rsid w:val="008167FE"/>
    <w:rsid w:val="00855C7E"/>
    <w:rsid w:val="008607E7"/>
    <w:rsid w:val="008627E0"/>
    <w:rsid w:val="0087151E"/>
    <w:rsid w:val="00872FE4"/>
    <w:rsid w:val="008A0B5A"/>
    <w:rsid w:val="008A365D"/>
    <w:rsid w:val="008C41AD"/>
    <w:rsid w:val="008C7AB0"/>
    <w:rsid w:val="008E2BDA"/>
    <w:rsid w:val="008E6CDA"/>
    <w:rsid w:val="008F035F"/>
    <w:rsid w:val="00910257"/>
    <w:rsid w:val="009123BA"/>
    <w:rsid w:val="00940311"/>
    <w:rsid w:val="00943EDE"/>
    <w:rsid w:val="00945284"/>
    <w:rsid w:val="0095387D"/>
    <w:rsid w:val="00974434"/>
    <w:rsid w:val="00982249"/>
    <w:rsid w:val="00995DBA"/>
    <w:rsid w:val="009A0B07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603D"/>
    <w:rsid w:val="00A47886"/>
    <w:rsid w:val="00A63F60"/>
    <w:rsid w:val="00A663F7"/>
    <w:rsid w:val="00A71EB3"/>
    <w:rsid w:val="00A85200"/>
    <w:rsid w:val="00AB2A5E"/>
    <w:rsid w:val="00AB5901"/>
    <w:rsid w:val="00AF589A"/>
    <w:rsid w:val="00AF66F6"/>
    <w:rsid w:val="00B148A3"/>
    <w:rsid w:val="00B16777"/>
    <w:rsid w:val="00B40156"/>
    <w:rsid w:val="00B47A89"/>
    <w:rsid w:val="00B51940"/>
    <w:rsid w:val="00B706C4"/>
    <w:rsid w:val="00B75F90"/>
    <w:rsid w:val="00B76C1D"/>
    <w:rsid w:val="00B83177"/>
    <w:rsid w:val="00B83C1E"/>
    <w:rsid w:val="00B936F3"/>
    <w:rsid w:val="00BB15CA"/>
    <w:rsid w:val="00BC0B18"/>
    <w:rsid w:val="00BC0F89"/>
    <w:rsid w:val="00BE7BB4"/>
    <w:rsid w:val="00C061A1"/>
    <w:rsid w:val="00C06564"/>
    <w:rsid w:val="00C1088C"/>
    <w:rsid w:val="00C46E5D"/>
    <w:rsid w:val="00C5676E"/>
    <w:rsid w:val="00C66040"/>
    <w:rsid w:val="00C677B3"/>
    <w:rsid w:val="00C96327"/>
    <w:rsid w:val="00C97BC8"/>
    <w:rsid w:val="00CA295B"/>
    <w:rsid w:val="00CB0076"/>
    <w:rsid w:val="00CD3E1E"/>
    <w:rsid w:val="00CE519A"/>
    <w:rsid w:val="00CF0259"/>
    <w:rsid w:val="00D149D1"/>
    <w:rsid w:val="00D22852"/>
    <w:rsid w:val="00D24E04"/>
    <w:rsid w:val="00D25A37"/>
    <w:rsid w:val="00D51456"/>
    <w:rsid w:val="00D55D53"/>
    <w:rsid w:val="00D66CEF"/>
    <w:rsid w:val="00D71ABC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16330"/>
    <w:rsid w:val="00E51EBC"/>
    <w:rsid w:val="00E73391"/>
    <w:rsid w:val="00E75A6A"/>
    <w:rsid w:val="00E802B5"/>
    <w:rsid w:val="00E83FCE"/>
    <w:rsid w:val="00E96348"/>
    <w:rsid w:val="00EB69AD"/>
    <w:rsid w:val="00EC0D20"/>
    <w:rsid w:val="00ED33D0"/>
    <w:rsid w:val="00ED5AE2"/>
    <w:rsid w:val="00ED5D29"/>
    <w:rsid w:val="00EE34B9"/>
    <w:rsid w:val="00EF1597"/>
    <w:rsid w:val="00EF1F2E"/>
    <w:rsid w:val="00F72131"/>
    <w:rsid w:val="00F72DD2"/>
    <w:rsid w:val="00F94D3A"/>
    <w:rsid w:val="00F96FF7"/>
    <w:rsid w:val="00FB1276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EF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597"/>
    <w:rPr>
      <w:b/>
      <w:bCs/>
      <w:i/>
      <w:i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EF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597"/>
    <w:rPr>
      <w:b/>
      <w:bCs/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8E1E-DA1D-455D-9755-50D773F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Colleen Galna</cp:lastModifiedBy>
  <cp:revision>2</cp:revision>
  <cp:lastPrinted>2018-03-21T22:32:00Z</cp:lastPrinted>
  <dcterms:created xsi:type="dcterms:W3CDTF">2018-04-04T22:44:00Z</dcterms:created>
  <dcterms:modified xsi:type="dcterms:W3CDTF">2018-04-04T22:44:00Z</dcterms:modified>
</cp:coreProperties>
</file>