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1E2F50" w:rsidP="00DE2E6A">
            <w:pPr>
              <w:pStyle w:val="Title"/>
              <w:spacing w:before="120" w:after="120"/>
              <w:jc w:val="left"/>
              <w:rPr>
                <w:rFonts w:ascii="Arial" w:hAnsi="Arial" w:cs="Arial"/>
                <w:b w:val="0"/>
              </w:rPr>
            </w:pPr>
            <w:r>
              <w:rPr>
                <w:rFonts w:ascii="Arial" w:hAnsi="Arial" w:cs="Arial"/>
                <w:b w:val="0"/>
              </w:rPr>
              <w:t>08/06/2020</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7A6886" w:rsidP="00DE2E6A">
            <w:pPr>
              <w:pStyle w:val="Title"/>
              <w:spacing w:before="120" w:after="120"/>
              <w:rPr>
                <w:rFonts w:ascii="Arial" w:hAnsi="Arial" w:cs="Arial"/>
                <w:b w:val="0"/>
              </w:rPr>
            </w:pP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431631" w:rsidP="00DE2E6A">
            <w:pPr>
              <w:pStyle w:val="Title"/>
              <w:spacing w:before="120" w:after="120"/>
              <w:jc w:val="left"/>
              <w:rPr>
                <w:rFonts w:ascii="Arial" w:hAnsi="Arial" w:cs="Arial"/>
                <w:b w:val="0"/>
              </w:rPr>
            </w:pPr>
            <w:r>
              <w:rPr>
                <w:rFonts w:ascii="Arial" w:hAnsi="Arial" w:cs="Arial"/>
                <w:b w:val="0"/>
              </w:rPr>
              <w:t>HP L1-L3 Dependent on qualifications and experience</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7A6886" w:rsidRDefault="00E81F85" w:rsidP="004A0446">
            <w:pPr>
              <w:spacing w:before="240" w:after="240"/>
              <w:rPr>
                <w:rFonts w:ascii="Arial" w:hAnsi="Arial" w:cs="Arial"/>
                <w:b/>
                <w:sz w:val="20"/>
                <w:szCs w:val="20"/>
              </w:rPr>
            </w:pPr>
            <w:r w:rsidRPr="00E81F85">
              <w:rPr>
                <w:rFonts w:ascii="Arial" w:hAnsi="Arial" w:cs="Arial"/>
                <w:sz w:val="20"/>
                <w:szCs w:val="20"/>
              </w:rPr>
              <w:t>Intake Worker,</w:t>
            </w:r>
            <w:r>
              <w:rPr>
                <w:rFonts w:ascii="Arial" w:hAnsi="Arial" w:cs="Arial"/>
                <w:b/>
                <w:sz w:val="20"/>
                <w:szCs w:val="20"/>
              </w:rPr>
              <w:t xml:space="preserve"> headspace </w:t>
            </w:r>
            <w:r w:rsidRPr="00E81F85">
              <w:rPr>
                <w:rFonts w:ascii="Arial" w:hAnsi="Arial" w:cs="Arial"/>
                <w:sz w:val="20"/>
                <w:szCs w:val="20"/>
              </w:rPr>
              <w:t>Broome</w:t>
            </w:r>
          </w:p>
        </w:tc>
      </w:tr>
      <w:tr w:rsidR="00DE2E6A" w:rsidRPr="007A6886" w:rsidTr="00836ACF">
        <w:trPr>
          <w:trHeight w:val="908"/>
        </w:trPr>
        <w:tc>
          <w:tcPr>
            <w:tcW w:w="1747" w:type="dxa"/>
            <w:tcBorders>
              <w:top w:val="single" w:sz="4" w:space="0" w:color="999999"/>
              <w:left w:val="single" w:sz="4" w:space="0" w:color="999999"/>
              <w:bottom w:val="single" w:sz="4" w:space="0" w:color="999999"/>
              <w:right w:val="nil"/>
            </w:tcBorders>
            <w:hideMark/>
          </w:tcPr>
          <w:p w:rsidR="00DE2E6A" w:rsidRDefault="00DE2E6A" w:rsidP="00836ACF">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tc>
        <w:tc>
          <w:tcPr>
            <w:tcW w:w="8505" w:type="dxa"/>
            <w:tcBorders>
              <w:top w:val="single" w:sz="4" w:space="0" w:color="999999"/>
              <w:left w:val="nil"/>
              <w:bottom w:val="single" w:sz="4" w:space="0" w:color="999999"/>
              <w:right w:val="single" w:sz="4" w:space="0" w:color="999999"/>
            </w:tcBorders>
          </w:tcPr>
          <w:p w:rsidR="00DE2E6A" w:rsidRPr="00DE2E6A" w:rsidRDefault="00E81F85" w:rsidP="004A0446">
            <w:pPr>
              <w:spacing w:before="240"/>
              <w:jc w:val="both"/>
              <w:rPr>
                <w:rFonts w:ascii="Arial" w:hAnsi="Arial" w:cs="Arial"/>
                <w:b/>
                <w:sz w:val="20"/>
                <w:szCs w:val="20"/>
              </w:rPr>
            </w:pPr>
            <w:r w:rsidRPr="00E81F85">
              <w:rPr>
                <w:rFonts w:ascii="Arial" w:hAnsi="Arial" w:cs="Arial"/>
                <w:sz w:val="20"/>
                <w:szCs w:val="20"/>
              </w:rPr>
              <w:t>Senior Manager</w:t>
            </w:r>
            <w:r>
              <w:rPr>
                <w:rFonts w:ascii="Arial" w:hAnsi="Arial" w:cs="Arial"/>
                <w:b/>
                <w:sz w:val="20"/>
                <w:szCs w:val="20"/>
              </w:rPr>
              <w:t xml:space="preserve"> headspace </w:t>
            </w:r>
            <w:r w:rsidRPr="00E81F85">
              <w:rPr>
                <w:rFonts w:ascii="Arial" w:hAnsi="Arial" w:cs="Arial"/>
                <w:sz w:val="20"/>
                <w:szCs w:val="20"/>
              </w:rPr>
              <w:t>Broom</w:t>
            </w:r>
            <w:r w:rsidR="00836ACF">
              <w:rPr>
                <w:rFonts w:ascii="Arial" w:hAnsi="Arial" w:cs="Arial"/>
                <w:sz w:val="20"/>
                <w:szCs w:val="20"/>
              </w:rPr>
              <w:t>e</w:t>
            </w:r>
          </w:p>
        </w:tc>
      </w:tr>
      <w:tr w:rsidR="007A6886" w:rsidRPr="007A6886"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E81F85" w:rsidRDefault="00E81F85" w:rsidP="00E81F85">
            <w:pPr>
              <w:spacing w:before="240"/>
              <w:jc w:val="both"/>
              <w:rPr>
                <w:rFonts w:ascii="Arial" w:hAnsi="Arial" w:cs="Arial"/>
                <w:sz w:val="20"/>
                <w:szCs w:val="20"/>
              </w:rPr>
            </w:pPr>
            <w:r w:rsidRPr="00E81F85">
              <w:rPr>
                <w:rFonts w:ascii="Arial" w:hAnsi="Arial" w:cs="Arial"/>
                <w:sz w:val="20"/>
                <w:szCs w:val="20"/>
              </w:rPr>
              <w:t>Senior Youth Mental Health Professional</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 xml:space="preserve">Youth Mental Health Professional </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headspace Lead GP</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 xml:space="preserve">headspace Registrars </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Youth Engagement Officer</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Youth Vocational Specialists</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SEWB Worker</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 xml:space="preserve">Admin Assistant </w:t>
            </w:r>
          </w:p>
          <w:p w:rsidR="00E81F85" w:rsidRPr="00E81F85" w:rsidRDefault="00E81F85" w:rsidP="00E81F85">
            <w:pPr>
              <w:spacing w:before="240"/>
              <w:jc w:val="both"/>
              <w:rPr>
                <w:rFonts w:ascii="Arial" w:hAnsi="Arial" w:cs="Arial"/>
                <w:sz w:val="20"/>
                <w:szCs w:val="20"/>
              </w:rPr>
            </w:pPr>
            <w:r w:rsidRPr="00E81F85">
              <w:rPr>
                <w:rFonts w:ascii="Arial" w:hAnsi="Arial" w:cs="Arial"/>
                <w:sz w:val="20"/>
                <w:szCs w:val="20"/>
              </w:rPr>
              <w:t>All KAMS Staff</w:t>
            </w:r>
          </w:p>
          <w:p w:rsidR="00E81F85" w:rsidRDefault="00E81F85" w:rsidP="00DE2E6A">
            <w:pPr>
              <w:spacing w:before="240"/>
              <w:jc w:val="both"/>
              <w:rPr>
                <w:rFonts w:ascii="Arial" w:hAnsi="Arial" w:cs="Arial"/>
                <w:b/>
                <w:sz w:val="20"/>
                <w:szCs w:val="20"/>
              </w:rPr>
            </w:pP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E81F85" w:rsidRDefault="00E81F85" w:rsidP="00E81F85">
            <w:pPr>
              <w:spacing w:before="240"/>
              <w:jc w:val="both"/>
              <w:rPr>
                <w:rFonts w:ascii="Arial" w:hAnsi="Arial" w:cs="Arial"/>
                <w:b/>
                <w:sz w:val="20"/>
                <w:szCs w:val="20"/>
              </w:rPr>
            </w:pPr>
            <w:r w:rsidRPr="00E81F85">
              <w:rPr>
                <w:rFonts w:ascii="Arial" w:hAnsi="Arial" w:cs="Arial"/>
                <w:sz w:val="20"/>
                <w:szCs w:val="20"/>
              </w:rPr>
              <w:t>KMHDS staff providing a co-located service at headspace</w:t>
            </w:r>
          </w:p>
          <w:p w:rsidR="00E81F85" w:rsidRDefault="00E81F85" w:rsidP="00E81F85">
            <w:pPr>
              <w:spacing w:before="240"/>
              <w:jc w:val="both"/>
              <w:rPr>
                <w:rFonts w:ascii="Arial" w:hAnsi="Arial" w:cs="Arial"/>
                <w:sz w:val="20"/>
                <w:szCs w:val="20"/>
              </w:rPr>
            </w:pPr>
            <w:r w:rsidRPr="00E81F85">
              <w:rPr>
                <w:rFonts w:ascii="Arial" w:hAnsi="Arial" w:cs="Arial"/>
                <w:sz w:val="20"/>
                <w:szCs w:val="20"/>
              </w:rPr>
              <w:t>Other local service providers including but not limited to;</w:t>
            </w:r>
          </w:p>
          <w:p w:rsidR="00E81F85" w:rsidRDefault="00E81F85" w:rsidP="00E81F85">
            <w:pPr>
              <w:spacing w:before="240"/>
              <w:jc w:val="both"/>
              <w:rPr>
                <w:rFonts w:ascii="Arial" w:hAnsi="Arial" w:cs="Arial"/>
                <w:sz w:val="20"/>
                <w:szCs w:val="20"/>
              </w:rPr>
            </w:pPr>
            <w:r>
              <w:rPr>
                <w:rFonts w:ascii="Arial" w:hAnsi="Arial" w:cs="Arial"/>
                <w:sz w:val="20"/>
                <w:szCs w:val="20"/>
              </w:rPr>
              <w:t>School education staff</w:t>
            </w:r>
          </w:p>
          <w:p w:rsidR="00E81F85" w:rsidRDefault="00E81F85" w:rsidP="00E81F85">
            <w:pPr>
              <w:spacing w:before="240"/>
              <w:jc w:val="both"/>
              <w:rPr>
                <w:rFonts w:ascii="Arial" w:hAnsi="Arial" w:cs="Arial"/>
                <w:sz w:val="20"/>
                <w:szCs w:val="20"/>
              </w:rPr>
            </w:pPr>
            <w:r>
              <w:rPr>
                <w:rFonts w:ascii="Arial" w:hAnsi="Arial" w:cs="Arial"/>
                <w:sz w:val="20"/>
                <w:szCs w:val="20"/>
              </w:rPr>
              <w:t>WA Country Health Services including CAMHS</w:t>
            </w:r>
          </w:p>
          <w:p w:rsidR="00E81F85" w:rsidRDefault="00E81F85" w:rsidP="00E81F85">
            <w:pPr>
              <w:spacing w:before="240"/>
              <w:jc w:val="both"/>
              <w:rPr>
                <w:rFonts w:ascii="Arial" w:hAnsi="Arial" w:cs="Arial"/>
                <w:sz w:val="20"/>
                <w:szCs w:val="20"/>
              </w:rPr>
            </w:pPr>
            <w:r>
              <w:rPr>
                <w:rFonts w:ascii="Arial" w:hAnsi="Arial" w:cs="Arial"/>
                <w:sz w:val="20"/>
                <w:szCs w:val="20"/>
              </w:rPr>
              <w:t>Department of Communities</w:t>
            </w:r>
          </w:p>
          <w:p w:rsidR="00AB572A" w:rsidRPr="00E81F85" w:rsidRDefault="00AB572A" w:rsidP="00E81F85">
            <w:pPr>
              <w:spacing w:before="240"/>
              <w:jc w:val="both"/>
              <w:rPr>
                <w:rFonts w:ascii="Arial" w:hAnsi="Arial" w:cs="Arial"/>
                <w:b/>
                <w:sz w:val="20"/>
                <w:szCs w:val="20"/>
              </w:rPr>
            </w:pPr>
          </w:p>
          <w:p w:rsidR="00E81F85" w:rsidRPr="00E81F85" w:rsidRDefault="00E81F85" w:rsidP="00E81F85">
            <w:pPr>
              <w:pStyle w:val="ListParagraph"/>
              <w:spacing w:before="240"/>
              <w:jc w:val="both"/>
              <w:rPr>
                <w:rFonts w:ascii="Arial" w:hAnsi="Arial" w:cs="Arial"/>
                <w:b/>
                <w:sz w:val="20"/>
                <w:szCs w:val="20"/>
              </w:rPr>
            </w:pPr>
          </w:p>
        </w:tc>
      </w:tr>
      <w:tr w:rsidR="007A6886" w:rsidRPr="007A6886" w:rsidTr="00F3404E">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EA7D9B">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lastRenderedPageBreak/>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Default="00877BF3" w:rsidP="00877BF3">
            <w:pPr>
              <w:pStyle w:val="Achievement"/>
              <w:numPr>
                <w:ilvl w:val="0"/>
                <w:numId w:val="0"/>
              </w:numPr>
              <w:tabs>
                <w:tab w:val="left" w:pos="9250"/>
              </w:tabs>
              <w:spacing w:line="240" w:lineRule="auto"/>
              <w:jc w:val="center"/>
              <w:rPr>
                <w:rFonts w:cs="Arial"/>
              </w:rPr>
            </w:pPr>
          </w:p>
          <w:p w:rsidR="0054391F" w:rsidRPr="008D68F2" w:rsidRDefault="0054391F" w:rsidP="0054391F">
            <w:pPr>
              <w:pStyle w:val="Achievement"/>
              <w:numPr>
                <w:ilvl w:val="0"/>
                <w:numId w:val="0"/>
              </w:numPr>
              <w:tabs>
                <w:tab w:val="left" w:pos="9250"/>
              </w:tabs>
              <w:spacing w:line="240" w:lineRule="auto"/>
              <w:rPr>
                <w:rFonts w:cs="Arial"/>
              </w:rPr>
            </w:pPr>
            <w:r w:rsidRPr="008D68F2">
              <w:rPr>
                <w:rFonts w:cs="Arial"/>
              </w:rPr>
              <w:t xml:space="preserve">The purpose of the Intake Worker position is to effectively engage and coordinate care of young people referred to the service. As one of the first contact points for young people </w:t>
            </w:r>
            <w:r w:rsidR="008D68F2">
              <w:rPr>
                <w:rFonts w:cs="Arial"/>
              </w:rPr>
              <w:t>accessing the headspace Broome C</w:t>
            </w:r>
            <w:r w:rsidRPr="008D68F2">
              <w:rPr>
                <w:rFonts w:cs="Arial"/>
              </w:rPr>
              <w:t xml:space="preserve">entre the Intake Worker will need to build a positive rapport with a wide range of young people, as well as their family and friends. </w:t>
            </w:r>
          </w:p>
          <w:p w:rsidR="0032769C" w:rsidRPr="008D68F2" w:rsidRDefault="0032769C" w:rsidP="0054391F">
            <w:pPr>
              <w:pStyle w:val="Achievement"/>
              <w:numPr>
                <w:ilvl w:val="0"/>
                <w:numId w:val="0"/>
              </w:numPr>
              <w:tabs>
                <w:tab w:val="left" w:pos="9250"/>
              </w:tabs>
              <w:spacing w:line="240" w:lineRule="auto"/>
              <w:rPr>
                <w:rFonts w:cs="Arial"/>
              </w:rPr>
            </w:pPr>
          </w:p>
          <w:p w:rsidR="0054391F" w:rsidRPr="008D68F2" w:rsidRDefault="0054391F" w:rsidP="0054391F">
            <w:pPr>
              <w:pStyle w:val="Achievement"/>
              <w:numPr>
                <w:ilvl w:val="0"/>
                <w:numId w:val="0"/>
              </w:numPr>
              <w:tabs>
                <w:tab w:val="left" w:pos="9250"/>
              </w:tabs>
              <w:spacing w:line="240" w:lineRule="auto"/>
              <w:rPr>
                <w:rFonts w:cs="Arial"/>
              </w:rPr>
            </w:pPr>
            <w:r w:rsidRPr="008D68F2">
              <w:rPr>
                <w:rFonts w:cs="Arial"/>
              </w:rPr>
              <w:t xml:space="preserve">The Intake Worker will facilitate referrals and provide </w:t>
            </w:r>
            <w:r w:rsidR="005D47F9">
              <w:rPr>
                <w:rFonts w:cs="Arial"/>
              </w:rPr>
              <w:t>appropriate</w:t>
            </w:r>
            <w:r w:rsidR="0032769C" w:rsidRPr="008D68F2">
              <w:rPr>
                <w:rFonts w:cs="Arial"/>
              </w:rPr>
              <w:t xml:space="preserve"> </w:t>
            </w:r>
            <w:r w:rsidRPr="008D68F2">
              <w:rPr>
                <w:rFonts w:cs="Arial"/>
              </w:rPr>
              <w:t>follow up to young people awaiting allocation to a Yo</w:t>
            </w:r>
            <w:r w:rsidR="0032769C" w:rsidRPr="008D68F2">
              <w:rPr>
                <w:rFonts w:cs="Arial"/>
              </w:rPr>
              <w:t xml:space="preserve">uth Mental Health Professional. </w:t>
            </w:r>
          </w:p>
          <w:p w:rsidR="0032769C" w:rsidRPr="008D68F2" w:rsidRDefault="0032769C" w:rsidP="0054391F">
            <w:pPr>
              <w:pStyle w:val="Achievement"/>
              <w:numPr>
                <w:ilvl w:val="0"/>
                <w:numId w:val="0"/>
              </w:numPr>
              <w:tabs>
                <w:tab w:val="left" w:pos="9250"/>
              </w:tabs>
              <w:spacing w:line="240" w:lineRule="auto"/>
              <w:rPr>
                <w:rFonts w:cs="Arial"/>
              </w:rPr>
            </w:pPr>
          </w:p>
          <w:p w:rsidR="0032769C" w:rsidRPr="008D68F2" w:rsidRDefault="0032769C" w:rsidP="0054391F">
            <w:pPr>
              <w:pStyle w:val="Achievement"/>
              <w:numPr>
                <w:ilvl w:val="0"/>
                <w:numId w:val="0"/>
              </w:numPr>
              <w:tabs>
                <w:tab w:val="left" w:pos="9250"/>
              </w:tabs>
              <w:spacing w:line="240" w:lineRule="auto"/>
              <w:rPr>
                <w:rFonts w:cs="Arial"/>
              </w:rPr>
            </w:pPr>
            <w:r w:rsidRPr="008D68F2">
              <w:rPr>
                <w:rFonts w:cs="Arial"/>
              </w:rPr>
              <w:t xml:space="preserve">The Intake Worker works as part of a multidisciplinary team, including GP’s, YMHP’s, SEWB workers, Vocational specialists and Youth Engagement staff. They will also work closely with local community and partner youth and health services to provide holistic and integrated care. </w:t>
            </w:r>
          </w:p>
          <w:p w:rsidR="0054391F" w:rsidRDefault="0054391F" w:rsidP="00877BF3">
            <w:pPr>
              <w:pStyle w:val="Achievement"/>
              <w:numPr>
                <w:ilvl w:val="0"/>
                <w:numId w:val="0"/>
              </w:numPr>
              <w:tabs>
                <w:tab w:val="left" w:pos="9250"/>
              </w:tabs>
              <w:spacing w:line="240" w:lineRule="auto"/>
              <w:jc w:val="center"/>
              <w:rPr>
                <w:rFonts w:cs="Arial"/>
              </w:rPr>
            </w:pPr>
          </w:p>
          <w:p w:rsidR="0054391F" w:rsidRPr="00877BF3" w:rsidRDefault="0054391F" w:rsidP="00877BF3">
            <w:pPr>
              <w:pStyle w:val="Achievement"/>
              <w:numPr>
                <w:ilvl w:val="0"/>
                <w:numId w:val="0"/>
              </w:numPr>
              <w:tabs>
                <w:tab w:val="left" w:pos="9250"/>
              </w:tabs>
              <w:spacing w:line="240" w:lineRule="auto"/>
              <w:jc w:val="center"/>
              <w:rPr>
                <w:rFonts w:cs="Arial"/>
                <w:i/>
              </w:rPr>
            </w:pPr>
          </w:p>
          <w:p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0D4B43">
            <w:pPr>
              <w:pStyle w:val="Achievement"/>
              <w:numPr>
                <w:ilvl w:val="0"/>
                <w:numId w:val="0"/>
              </w:numPr>
              <w:spacing w:before="240" w:line="240" w:lineRule="auto"/>
              <w:jc w:val="center"/>
              <w:rPr>
                <w:rFonts w:cs="Arial"/>
                <w:b/>
              </w:rPr>
            </w:pPr>
            <w:r w:rsidRPr="007A6886">
              <w:rPr>
                <w:rFonts w:cs="Arial"/>
                <w:b/>
              </w:rPr>
              <w:t>Key Responsibilities</w:t>
            </w:r>
          </w:p>
          <w:p w:rsidR="00DE2E6A" w:rsidRDefault="008D68F2" w:rsidP="00DE2E6A">
            <w:pPr>
              <w:pStyle w:val="Achievement"/>
              <w:numPr>
                <w:ilvl w:val="0"/>
                <w:numId w:val="0"/>
              </w:numPr>
              <w:spacing w:before="240" w:line="240" w:lineRule="auto"/>
              <w:rPr>
                <w:rFonts w:cs="Arial"/>
              </w:rPr>
            </w:pPr>
            <w:r>
              <w:rPr>
                <w:rFonts w:cs="Arial"/>
              </w:rPr>
              <w:t xml:space="preserve">Relate to young people in a manner which is relevant and appropriate to developmental and cognitive level of functioning and provide services in a youth friendly </w:t>
            </w:r>
            <w:r w:rsidR="001D6BE9">
              <w:rPr>
                <w:rFonts w:cs="Arial"/>
              </w:rPr>
              <w:t xml:space="preserve">and culturally secure </w:t>
            </w:r>
            <w:r>
              <w:rPr>
                <w:rFonts w:cs="Arial"/>
              </w:rPr>
              <w:t xml:space="preserve">manner. </w:t>
            </w:r>
          </w:p>
          <w:p w:rsidR="00324BA5" w:rsidRDefault="00324BA5" w:rsidP="00324BA5">
            <w:pPr>
              <w:pStyle w:val="Achievement"/>
              <w:numPr>
                <w:ilvl w:val="0"/>
                <w:numId w:val="0"/>
              </w:numPr>
              <w:spacing w:before="240" w:line="240" w:lineRule="auto"/>
              <w:rPr>
                <w:rFonts w:cs="Arial"/>
              </w:rPr>
            </w:pPr>
            <w:r>
              <w:rPr>
                <w:rFonts w:cs="Arial"/>
              </w:rPr>
              <w:t>Assist young people seeking support and connect them to the app</w:t>
            </w:r>
            <w:r w:rsidR="005D47F9">
              <w:rPr>
                <w:rFonts w:cs="Arial"/>
              </w:rPr>
              <w:t xml:space="preserve">ropriate services </w:t>
            </w:r>
            <w:r>
              <w:rPr>
                <w:rFonts w:cs="Arial"/>
              </w:rPr>
              <w:t xml:space="preserve">within headspace </w:t>
            </w:r>
            <w:r w:rsidR="001D6BE9">
              <w:rPr>
                <w:rFonts w:cs="Arial"/>
              </w:rPr>
              <w:t xml:space="preserve">Broome </w:t>
            </w:r>
            <w:r w:rsidR="005D47F9">
              <w:rPr>
                <w:rFonts w:cs="Arial"/>
              </w:rPr>
              <w:t>or externally.</w:t>
            </w:r>
          </w:p>
          <w:p w:rsidR="00C25DF4" w:rsidRDefault="005D47F9" w:rsidP="00DE2E6A">
            <w:pPr>
              <w:pStyle w:val="Achievement"/>
              <w:numPr>
                <w:ilvl w:val="0"/>
                <w:numId w:val="0"/>
              </w:numPr>
              <w:spacing w:before="240" w:line="240" w:lineRule="auto"/>
              <w:rPr>
                <w:rFonts w:cs="Arial"/>
                <w:i/>
              </w:rPr>
            </w:pPr>
            <w:r>
              <w:rPr>
                <w:rFonts w:cs="Arial"/>
                <w:i/>
              </w:rPr>
              <w:t>Specific Duties</w:t>
            </w:r>
          </w:p>
          <w:p w:rsidR="006F40FB" w:rsidRPr="001D6BE9" w:rsidRDefault="006F40FB" w:rsidP="006F40FB">
            <w:pPr>
              <w:pStyle w:val="Achievement"/>
              <w:numPr>
                <w:ilvl w:val="0"/>
                <w:numId w:val="19"/>
              </w:numPr>
              <w:spacing w:before="240" w:line="240" w:lineRule="auto"/>
              <w:rPr>
                <w:rFonts w:cs="Arial"/>
                <w:i/>
              </w:rPr>
            </w:pPr>
            <w:r>
              <w:rPr>
                <w:rFonts w:cs="Arial"/>
              </w:rPr>
              <w:t>Participate in the access and intake system, answering phone calls and enquiries, assessing needs and facilitating referrals</w:t>
            </w:r>
            <w:r w:rsidR="00234764">
              <w:rPr>
                <w:rFonts w:cs="Arial"/>
              </w:rPr>
              <w:t>.</w:t>
            </w:r>
          </w:p>
          <w:p w:rsidR="00324BA5" w:rsidRPr="006F40FB" w:rsidRDefault="00324BA5" w:rsidP="006F40FB">
            <w:pPr>
              <w:pStyle w:val="Achievement"/>
              <w:numPr>
                <w:ilvl w:val="0"/>
                <w:numId w:val="19"/>
              </w:numPr>
              <w:spacing w:before="240" w:line="240" w:lineRule="auto"/>
              <w:rPr>
                <w:rFonts w:cs="Arial"/>
              </w:rPr>
            </w:pPr>
            <w:r>
              <w:rPr>
                <w:rFonts w:cs="Arial"/>
              </w:rPr>
              <w:t xml:space="preserve">Facilitate </w:t>
            </w:r>
            <w:r w:rsidR="006F40FB">
              <w:rPr>
                <w:rFonts w:cs="Arial"/>
              </w:rPr>
              <w:t>and monitor the integration and coordination of care to headspace Broome clients</w:t>
            </w:r>
            <w:r w:rsidR="00234764">
              <w:rPr>
                <w:rFonts w:cs="Arial"/>
              </w:rPr>
              <w:t xml:space="preserve"> </w:t>
            </w:r>
            <w:proofErr w:type="spellStart"/>
            <w:r w:rsidR="00234764">
              <w:rPr>
                <w:rFonts w:cs="Arial"/>
              </w:rPr>
              <w:t>durin</w:t>
            </w:r>
            <w:proofErr w:type="spellEnd"/>
            <w:r w:rsidR="00234764">
              <w:rPr>
                <w:rFonts w:cs="Arial"/>
              </w:rPr>
              <w:t xml:space="preserve"> the initial access period</w:t>
            </w:r>
            <w:r w:rsidR="006F40FB">
              <w:rPr>
                <w:rFonts w:cs="Arial"/>
              </w:rPr>
              <w:t>, including active participation in multidisciplinary and interdisciplinary case review meetings.</w:t>
            </w:r>
          </w:p>
          <w:p w:rsidR="00324BA5" w:rsidRDefault="00324BA5" w:rsidP="00324BA5">
            <w:pPr>
              <w:pStyle w:val="Achievement"/>
              <w:numPr>
                <w:ilvl w:val="0"/>
                <w:numId w:val="19"/>
              </w:numPr>
              <w:spacing w:before="240" w:line="240" w:lineRule="auto"/>
              <w:rPr>
                <w:rFonts w:cs="Arial"/>
              </w:rPr>
            </w:pPr>
            <w:r>
              <w:rPr>
                <w:rFonts w:cs="Arial"/>
              </w:rPr>
              <w:t xml:space="preserve">Manage the weekly Intake Admin process and </w:t>
            </w:r>
            <w:r w:rsidR="001D6BE9">
              <w:rPr>
                <w:rFonts w:cs="Arial"/>
              </w:rPr>
              <w:t xml:space="preserve">co-ordinate </w:t>
            </w:r>
            <w:r>
              <w:rPr>
                <w:rFonts w:cs="Arial"/>
              </w:rPr>
              <w:t xml:space="preserve">relevant actions </w:t>
            </w:r>
            <w:r w:rsidR="006F40FB">
              <w:rPr>
                <w:rFonts w:cs="Arial"/>
              </w:rPr>
              <w:t xml:space="preserve">amongst the MDT team. </w:t>
            </w:r>
          </w:p>
          <w:p w:rsidR="001D6BE9" w:rsidRDefault="001D6BE9" w:rsidP="00324BA5">
            <w:pPr>
              <w:pStyle w:val="Achievement"/>
              <w:numPr>
                <w:ilvl w:val="0"/>
                <w:numId w:val="19"/>
              </w:numPr>
              <w:spacing w:before="240" w:line="240" w:lineRule="auto"/>
              <w:rPr>
                <w:rFonts w:cs="Arial"/>
              </w:rPr>
            </w:pPr>
            <w:r>
              <w:rPr>
                <w:rFonts w:cs="Arial"/>
              </w:rPr>
              <w:t xml:space="preserve">Provide follow up support to young people awaiting allocation to a YMHP </w:t>
            </w:r>
            <w:r w:rsidR="00C25DF4">
              <w:rPr>
                <w:rFonts w:cs="Arial"/>
              </w:rPr>
              <w:t>and monitor young people for critical ch</w:t>
            </w:r>
            <w:r w:rsidR="00486DFD">
              <w:rPr>
                <w:rFonts w:cs="Arial"/>
              </w:rPr>
              <w:t xml:space="preserve">anges and initiate appropriate </w:t>
            </w:r>
            <w:r w:rsidR="00C25DF4">
              <w:rPr>
                <w:rFonts w:cs="Arial"/>
              </w:rPr>
              <w:t xml:space="preserve">procedures. </w:t>
            </w:r>
          </w:p>
          <w:p w:rsidR="001D6BE9" w:rsidRDefault="00C25DF4" w:rsidP="00324BA5">
            <w:pPr>
              <w:pStyle w:val="Achievement"/>
              <w:numPr>
                <w:ilvl w:val="0"/>
                <w:numId w:val="19"/>
              </w:numPr>
              <w:spacing w:before="240" w:line="240" w:lineRule="auto"/>
              <w:rPr>
                <w:rFonts w:cs="Arial"/>
              </w:rPr>
            </w:pPr>
            <w:r>
              <w:rPr>
                <w:rFonts w:cs="Arial"/>
              </w:rPr>
              <w:t xml:space="preserve">Maintain up-to date client records and comply with data collection standards </w:t>
            </w:r>
          </w:p>
          <w:p w:rsidR="00E34141" w:rsidRDefault="005D47F9" w:rsidP="005D47F9">
            <w:pPr>
              <w:pStyle w:val="Achievement"/>
              <w:numPr>
                <w:ilvl w:val="0"/>
                <w:numId w:val="19"/>
              </w:numPr>
              <w:spacing w:before="240" w:line="240" w:lineRule="auto"/>
              <w:rPr>
                <w:rFonts w:cs="Arial"/>
              </w:rPr>
            </w:pPr>
            <w:r>
              <w:rPr>
                <w:rFonts w:cs="Arial"/>
              </w:rPr>
              <w:t xml:space="preserve">Other tasks as directed by the Senior Manager, to support the operational requirements of the service. </w:t>
            </w:r>
          </w:p>
          <w:p w:rsidR="000D4B43" w:rsidRPr="005D47F9" w:rsidRDefault="000D4B43" w:rsidP="000D4B43">
            <w:pPr>
              <w:pStyle w:val="Achievement"/>
              <w:numPr>
                <w:ilvl w:val="0"/>
                <w:numId w:val="0"/>
              </w:numPr>
              <w:spacing w:before="240" w:line="240" w:lineRule="auto"/>
              <w:ind w:left="720"/>
              <w:rPr>
                <w:rFonts w:cs="Arial"/>
              </w:rPr>
            </w:pPr>
          </w:p>
        </w:tc>
      </w:tr>
    </w:tbl>
    <w:p w:rsidR="007A6886" w:rsidRDefault="007A6886" w:rsidP="00CE1804">
      <w:pPr>
        <w:rPr>
          <w:rFonts w:ascii="Arial" w:hAnsi="Arial" w:cs="Arial"/>
          <w:b/>
          <w:sz w:val="20"/>
          <w:szCs w:val="20"/>
          <w:u w:val="single"/>
        </w:rPr>
      </w:pPr>
    </w:p>
    <w:p w:rsidR="000D4B43" w:rsidRDefault="000D4B43" w:rsidP="00CE1804">
      <w:pPr>
        <w:rPr>
          <w:rFonts w:ascii="Arial" w:hAnsi="Arial" w:cs="Arial"/>
          <w:b/>
          <w:sz w:val="20"/>
          <w:szCs w:val="20"/>
          <w:u w:val="single"/>
        </w:rPr>
      </w:pPr>
    </w:p>
    <w:p w:rsidR="000D4B43" w:rsidRDefault="000D4B43" w:rsidP="00CE1804">
      <w:pPr>
        <w:rPr>
          <w:rFonts w:ascii="Arial" w:hAnsi="Arial" w:cs="Arial"/>
          <w:b/>
          <w:sz w:val="20"/>
          <w:szCs w:val="20"/>
          <w:u w:val="single"/>
        </w:rPr>
      </w:pPr>
    </w:p>
    <w:p w:rsidR="000D4B43" w:rsidRDefault="000D4B43" w:rsidP="00CE1804">
      <w:pPr>
        <w:rPr>
          <w:rFonts w:ascii="Arial" w:hAnsi="Arial" w:cs="Arial"/>
          <w:b/>
          <w:sz w:val="20"/>
          <w:szCs w:val="20"/>
          <w:u w:val="single"/>
        </w:rPr>
      </w:pPr>
    </w:p>
    <w:p w:rsidR="000D4B43" w:rsidRDefault="000D4B43" w:rsidP="00CE1804">
      <w:pPr>
        <w:rPr>
          <w:rFonts w:ascii="Arial" w:hAnsi="Arial" w:cs="Arial"/>
          <w:b/>
          <w:sz w:val="20"/>
          <w:szCs w:val="20"/>
          <w:u w:val="single"/>
        </w:rPr>
      </w:pPr>
    </w:p>
    <w:p w:rsidR="000D4B43" w:rsidRDefault="000D4B43" w:rsidP="00CE1804">
      <w:pPr>
        <w:rPr>
          <w:rFonts w:ascii="Arial" w:hAnsi="Arial" w:cs="Arial"/>
          <w:b/>
          <w:sz w:val="20"/>
          <w:szCs w:val="20"/>
          <w:u w:val="single"/>
        </w:rPr>
      </w:pPr>
    </w:p>
    <w:p w:rsidR="000D4B43" w:rsidRDefault="000D4B43"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EA7D9B">
            <w:pPr>
              <w:jc w:val="center"/>
              <w:rPr>
                <w:rFonts w:ascii="Arial" w:hAnsi="Arial" w:cs="Arial"/>
                <w:b/>
                <w:sz w:val="20"/>
                <w:szCs w:val="20"/>
              </w:rPr>
            </w:pPr>
          </w:p>
          <w:p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rPr>
                <w:rFonts w:ascii="Arial" w:hAnsi="Arial" w:cs="Arial"/>
                <w:b/>
                <w:sz w:val="20"/>
                <w:szCs w:val="20"/>
              </w:rPr>
            </w:pP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ED0E9A" w:rsidRDefault="00ED0E9A" w:rsidP="00047C55">
            <w:pPr>
              <w:jc w:val="both"/>
              <w:rPr>
                <w:rFonts w:ascii="Arial" w:hAnsi="Arial" w:cs="Arial"/>
                <w:b/>
                <w:sz w:val="20"/>
                <w:szCs w:val="20"/>
              </w:rPr>
            </w:pPr>
          </w:p>
          <w:p w:rsidR="00ED0E9A" w:rsidRDefault="00ED0E9A" w:rsidP="00FE1298">
            <w:pPr>
              <w:pStyle w:val="ListParagraph"/>
              <w:numPr>
                <w:ilvl w:val="0"/>
                <w:numId w:val="17"/>
              </w:numPr>
              <w:rPr>
                <w:rFonts w:ascii="Arial" w:hAnsi="Arial" w:cs="Arial"/>
                <w:sz w:val="20"/>
                <w:szCs w:val="20"/>
              </w:rPr>
            </w:pPr>
            <w:r>
              <w:rPr>
                <w:rFonts w:ascii="Arial" w:hAnsi="Arial" w:cs="Arial"/>
                <w:sz w:val="20"/>
                <w:szCs w:val="20"/>
              </w:rPr>
              <w:t xml:space="preserve">Tertiary level qualification in mental health or community services or related discipline that provides a sound understanding and knowledge of working with young people </w:t>
            </w:r>
            <w:r w:rsidR="000D4B43">
              <w:rPr>
                <w:rFonts w:ascii="Arial" w:hAnsi="Arial" w:cs="Arial"/>
                <w:sz w:val="20"/>
                <w:szCs w:val="20"/>
              </w:rPr>
              <w:t xml:space="preserve">with mental health challenges.  </w:t>
            </w:r>
          </w:p>
          <w:p w:rsidR="005D47F9" w:rsidRDefault="005D47F9" w:rsidP="00FE1298">
            <w:pPr>
              <w:pStyle w:val="ListParagraph"/>
              <w:numPr>
                <w:ilvl w:val="0"/>
                <w:numId w:val="17"/>
              </w:numPr>
              <w:rPr>
                <w:rFonts w:ascii="Arial" w:hAnsi="Arial" w:cs="Arial"/>
                <w:sz w:val="20"/>
                <w:szCs w:val="20"/>
              </w:rPr>
            </w:pPr>
            <w:r>
              <w:rPr>
                <w:rFonts w:ascii="Arial" w:hAnsi="Arial" w:cs="Arial"/>
                <w:sz w:val="20"/>
                <w:szCs w:val="20"/>
              </w:rPr>
              <w:t>Knowledge and understanding of mental health, including</w:t>
            </w:r>
            <w:r w:rsidR="00ED0E9A">
              <w:rPr>
                <w:rFonts w:ascii="Arial" w:hAnsi="Arial" w:cs="Arial"/>
                <w:sz w:val="20"/>
                <w:szCs w:val="20"/>
              </w:rPr>
              <w:t xml:space="preserve"> psychoeducation and brief interventions </w:t>
            </w:r>
          </w:p>
          <w:p w:rsidR="00ED0E9A" w:rsidRDefault="00ED0E9A" w:rsidP="00FE1298">
            <w:pPr>
              <w:pStyle w:val="ListParagraph"/>
              <w:numPr>
                <w:ilvl w:val="0"/>
                <w:numId w:val="17"/>
              </w:numPr>
              <w:rPr>
                <w:rFonts w:ascii="Arial" w:hAnsi="Arial" w:cs="Arial"/>
                <w:sz w:val="20"/>
                <w:szCs w:val="20"/>
              </w:rPr>
            </w:pPr>
            <w:r>
              <w:rPr>
                <w:rFonts w:ascii="Arial" w:hAnsi="Arial" w:cs="Arial"/>
                <w:sz w:val="20"/>
                <w:szCs w:val="20"/>
              </w:rPr>
              <w:t>Exceptional interpersonal skills with the ability to work with a diverse range of people.</w:t>
            </w:r>
          </w:p>
          <w:p w:rsidR="00ED0E9A" w:rsidRDefault="00ED0E9A" w:rsidP="00FE1298">
            <w:pPr>
              <w:pStyle w:val="ListParagraph"/>
              <w:numPr>
                <w:ilvl w:val="0"/>
                <w:numId w:val="17"/>
              </w:numPr>
              <w:rPr>
                <w:rFonts w:ascii="Arial" w:hAnsi="Arial" w:cs="Arial"/>
                <w:sz w:val="20"/>
                <w:szCs w:val="20"/>
              </w:rPr>
            </w:pPr>
            <w:r>
              <w:rPr>
                <w:rFonts w:ascii="Arial" w:hAnsi="Arial" w:cs="Arial"/>
                <w:sz w:val="20"/>
                <w:szCs w:val="20"/>
              </w:rPr>
              <w:t>Highly developed verbal and written communication skills</w:t>
            </w:r>
          </w:p>
          <w:p w:rsidR="00ED0E9A" w:rsidRDefault="00ED0E9A" w:rsidP="00FE1298">
            <w:pPr>
              <w:pStyle w:val="ListParagraph"/>
              <w:numPr>
                <w:ilvl w:val="0"/>
                <w:numId w:val="17"/>
              </w:numPr>
              <w:rPr>
                <w:rFonts w:ascii="Arial" w:hAnsi="Arial" w:cs="Arial"/>
                <w:sz w:val="20"/>
                <w:szCs w:val="20"/>
              </w:rPr>
            </w:pPr>
            <w:r>
              <w:rPr>
                <w:rFonts w:ascii="Arial" w:hAnsi="Arial" w:cs="Arial"/>
                <w:sz w:val="20"/>
                <w:szCs w:val="20"/>
              </w:rPr>
              <w:t xml:space="preserve">Excellent organizational and time management skills, including the ability to </w:t>
            </w:r>
            <w:r w:rsidR="000D4B43">
              <w:rPr>
                <w:rFonts w:ascii="Arial" w:hAnsi="Arial" w:cs="Arial"/>
                <w:sz w:val="20"/>
                <w:szCs w:val="20"/>
              </w:rPr>
              <w:t>prioritize</w:t>
            </w:r>
            <w:r>
              <w:rPr>
                <w:rFonts w:ascii="Arial" w:hAnsi="Arial" w:cs="Arial"/>
                <w:sz w:val="20"/>
                <w:szCs w:val="20"/>
              </w:rPr>
              <w:t xml:space="preserve"> and manage multiple and competing work tasks and deliver to agreed deadlines</w:t>
            </w:r>
          </w:p>
          <w:p w:rsidR="00ED0E9A" w:rsidRDefault="00ED0E9A" w:rsidP="00FE1298">
            <w:pPr>
              <w:pStyle w:val="ListParagraph"/>
              <w:numPr>
                <w:ilvl w:val="0"/>
                <w:numId w:val="17"/>
              </w:numPr>
              <w:rPr>
                <w:rFonts w:ascii="Arial" w:hAnsi="Arial" w:cs="Arial"/>
                <w:sz w:val="20"/>
                <w:szCs w:val="20"/>
              </w:rPr>
            </w:pPr>
            <w:r>
              <w:rPr>
                <w:rFonts w:ascii="Arial" w:hAnsi="Arial" w:cs="Arial"/>
                <w:sz w:val="20"/>
                <w:szCs w:val="20"/>
              </w:rPr>
              <w:t xml:space="preserve">Ability to work both independently and collaboratively as a productive team member </w:t>
            </w:r>
          </w:p>
          <w:p w:rsidR="00ED0E9A" w:rsidRDefault="00ED0E9A" w:rsidP="00FE1298">
            <w:pPr>
              <w:pStyle w:val="ListParagraph"/>
              <w:numPr>
                <w:ilvl w:val="0"/>
                <w:numId w:val="17"/>
              </w:numPr>
              <w:rPr>
                <w:rFonts w:ascii="Arial" w:hAnsi="Arial" w:cs="Arial"/>
                <w:sz w:val="20"/>
                <w:szCs w:val="20"/>
              </w:rPr>
            </w:pPr>
            <w:r>
              <w:rPr>
                <w:rFonts w:ascii="Arial" w:hAnsi="Arial" w:cs="Arial"/>
                <w:sz w:val="20"/>
                <w:szCs w:val="20"/>
              </w:rPr>
              <w:t xml:space="preserve">A broad understanding of the challenges and experiences of young people in the Kimberley region. </w:t>
            </w:r>
          </w:p>
          <w:p w:rsidR="00FE1298" w:rsidRPr="00FE1298" w:rsidRDefault="00FE1298" w:rsidP="00FE1298">
            <w:pPr>
              <w:pStyle w:val="ListParagraph"/>
              <w:numPr>
                <w:ilvl w:val="0"/>
                <w:numId w:val="17"/>
              </w:numPr>
              <w:rPr>
                <w:rFonts w:ascii="Arial" w:hAnsi="Arial" w:cs="Arial"/>
                <w:sz w:val="20"/>
                <w:szCs w:val="20"/>
              </w:rPr>
            </w:pPr>
            <w:r w:rsidRPr="00FE1298">
              <w:rPr>
                <w:rFonts w:ascii="Arial" w:hAnsi="Arial" w:cs="Arial"/>
                <w:sz w:val="20"/>
                <w:szCs w:val="20"/>
              </w:rPr>
              <w:t>Current National Police Clearance</w:t>
            </w:r>
            <w:r w:rsidR="000D4B43">
              <w:rPr>
                <w:rFonts w:ascii="Arial" w:hAnsi="Arial" w:cs="Arial"/>
                <w:sz w:val="20"/>
                <w:szCs w:val="20"/>
              </w:rPr>
              <w:t>, WWCC</w:t>
            </w:r>
            <w:r w:rsidRPr="00FE1298">
              <w:rPr>
                <w:rFonts w:ascii="Arial" w:hAnsi="Arial" w:cs="Arial"/>
                <w:sz w:val="20"/>
                <w:szCs w:val="20"/>
              </w:rPr>
              <w:t xml:space="preserve"> or willingness to obtain one</w:t>
            </w:r>
          </w:p>
          <w:p w:rsidR="00FE1298" w:rsidRPr="00C509A2" w:rsidRDefault="00FE1298" w:rsidP="00FE1298">
            <w:pPr>
              <w:pStyle w:val="ListParagraph"/>
              <w:jc w:val="both"/>
              <w:rPr>
                <w:rFonts w:ascii="Arial" w:hAnsi="Arial" w:cs="Arial"/>
                <w:b/>
                <w:sz w:val="20"/>
                <w:szCs w:val="20"/>
                <w:highlight w:val="yellow"/>
              </w:rPr>
            </w:pPr>
          </w:p>
          <w:p w:rsidR="007A6886" w:rsidRPr="007A6886" w:rsidRDefault="007A6886" w:rsidP="00047C55">
            <w:pPr>
              <w:jc w:val="both"/>
              <w:rPr>
                <w:rFonts w:ascii="Arial" w:hAnsi="Arial" w:cs="Arial"/>
                <w:sz w:val="20"/>
                <w:szCs w:val="20"/>
              </w:rPr>
            </w:pPr>
          </w:p>
          <w:p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0D4B43" w:rsidRDefault="000D4B43" w:rsidP="00047C55">
            <w:pPr>
              <w:jc w:val="both"/>
              <w:rPr>
                <w:rFonts w:ascii="Arial" w:hAnsi="Arial" w:cs="Arial"/>
                <w:b/>
                <w:sz w:val="20"/>
                <w:szCs w:val="20"/>
                <w:u w:val="single"/>
              </w:rPr>
            </w:pPr>
          </w:p>
          <w:p w:rsidR="007A6886" w:rsidRDefault="000D4B43" w:rsidP="000D4B43">
            <w:pPr>
              <w:pStyle w:val="ListParagraph"/>
              <w:numPr>
                <w:ilvl w:val="0"/>
                <w:numId w:val="18"/>
              </w:numPr>
              <w:jc w:val="both"/>
              <w:rPr>
                <w:rFonts w:ascii="Arial" w:hAnsi="Arial" w:cs="Arial"/>
                <w:sz w:val="20"/>
                <w:szCs w:val="20"/>
              </w:rPr>
            </w:pPr>
            <w:r>
              <w:rPr>
                <w:rFonts w:ascii="Arial" w:hAnsi="Arial" w:cs="Arial"/>
                <w:sz w:val="20"/>
                <w:szCs w:val="20"/>
              </w:rPr>
              <w:t>Knowledge and ability to develop and deliver group based skills training activities to assist young people’s psychosocial functioning (</w:t>
            </w:r>
            <w:proofErr w:type="spellStart"/>
            <w:r>
              <w:rPr>
                <w:rFonts w:ascii="Arial" w:hAnsi="Arial" w:cs="Arial"/>
                <w:sz w:val="20"/>
                <w:szCs w:val="20"/>
              </w:rPr>
              <w:t>eg</w:t>
            </w:r>
            <w:proofErr w:type="spellEnd"/>
            <w:r>
              <w:rPr>
                <w:rFonts w:ascii="Arial" w:hAnsi="Arial" w:cs="Arial"/>
                <w:sz w:val="20"/>
                <w:szCs w:val="20"/>
              </w:rPr>
              <w:t xml:space="preserve"> life skills, anger management, problem solving, conflict resolution)</w:t>
            </w:r>
          </w:p>
          <w:p w:rsidR="000D4B43" w:rsidRDefault="000D4B43" w:rsidP="000D4B43">
            <w:pPr>
              <w:pStyle w:val="ListParagraph"/>
              <w:numPr>
                <w:ilvl w:val="0"/>
                <w:numId w:val="18"/>
              </w:numPr>
              <w:jc w:val="both"/>
              <w:rPr>
                <w:rFonts w:ascii="Arial" w:hAnsi="Arial" w:cs="Arial"/>
                <w:sz w:val="20"/>
                <w:szCs w:val="20"/>
              </w:rPr>
            </w:pPr>
            <w:r>
              <w:rPr>
                <w:rFonts w:ascii="Arial" w:hAnsi="Arial" w:cs="Arial"/>
                <w:sz w:val="20"/>
                <w:szCs w:val="20"/>
              </w:rPr>
              <w:t xml:space="preserve">A broad understanding of the mental health and primary health system within the Kimberley </w:t>
            </w:r>
          </w:p>
          <w:p w:rsidR="000D4B43" w:rsidRDefault="000D4B43" w:rsidP="000D4B43">
            <w:pPr>
              <w:pStyle w:val="ListParagraph"/>
              <w:numPr>
                <w:ilvl w:val="0"/>
                <w:numId w:val="18"/>
              </w:numPr>
              <w:jc w:val="both"/>
              <w:rPr>
                <w:rFonts w:ascii="Arial" w:hAnsi="Arial" w:cs="Arial"/>
                <w:sz w:val="20"/>
                <w:szCs w:val="20"/>
              </w:rPr>
            </w:pPr>
            <w:r>
              <w:rPr>
                <w:rFonts w:ascii="Arial" w:hAnsi="Arial" w:cs="Arial"/>
                <w:sz w:val="20"/>
                <w:szCs w:val="20"/>
              </w:rPr>
              <w:t xml:space="preserve">Adaptability and flexibility to changing work environments and requirements. </w:t>
            </w:r>
          </w:p>
          <w:p w:rsidR="000D4B43" w:rsidRDefault="000D4B43" w:rsidP="000D4B43">
            <w:pPr>
              <w:pStyle w:val="ListParagraph"/>
              <w:numPr>
                <w:ilvl w:val="0"/>
                <w:numId w:val="18"/>
              </w:numPr>
              <w:jc w:val="both"/>
              <w:rPr>
                <w:rFonts w:ascii="Arial" w:hAnsi="Arial" w:cs="Arial"/>
                <w:sz w:val="20"/>
                <w:szCs w:val="20"/>
              </w:rPr>
            </w:pPr>
            <w:r>
              <w:rPr>
                <w:rFonts w:ascii="Arial" w:hAnsi="Arial" w:cs="Arial"/>
                <w:sz w:val="20"/>
                <w:szCs w:val="20"/>
              </w:rPr>
              <w:t xml:space="preserve">WA “C” Class Driving License </w:t>
            </w:r>
          </w:p>
          <w:p w:rsidR="000D4B43" w:rsidRPr="007A6886" w:rsidRDefault="000D4B43" w:rsidP="000D4B43">
            <w:pPr>
              <w:pStyle w:val="ListParagraph"/>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E87139" w:rsidP="00EA7D9B">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w:t>
            </w:r>
            <w:proofErr w:type="spellStart"/>
            <w:r w:rsidRPr="007A6886">
              <w:rPr>
                <w:rFonts w:ascii="Arial" w:hAnsi="Arial" w:cs="Arial"/>
                <w:sz w:val="20"/>
                <w:szCs w:val="20"/>
              </w:rPr>
              <w:t>Balgo</w:t>
            </w:r>
            <w:proofErr w:type="spellEnd"/>
            <w:r w:rsidRPr="007A6886">
              <w:rPr>
                <w:rFonts w:ascii="Arial" w:hAnsi="Arial" w:cs="Arial"/>
                <w:sz w:val="20"/>
                <w:szCs w:val="20"/>
              </w:rPr>
              <w:t>, </w:t>
            </w:r>
            <w:proofErr w:type="spellStart"/>
            <w:r w:rsidRPr="007A6886">
              <w:rPr>
                <w:rFonts w:ascii="Arial" w:hAnsi="Arial" w:cs="Arial"/>
                <w:sz w:val="20"/>
                <w:szCs w:val="20"/>
              </w:rPr>
              <w:t>Billiluna</w:t>
            </w:r>
            <w:proofErr w:type="spellEnd"/>
            <w:r w:rsidRPr="007A6886">
              <w:rPr>
                <w:rFonts w:ascii="Arial" w:hAnsi="Arial" w:cs="Arial"/>
                <w:sz w:val="20"/>
                <w:szCs w:val="20"/>
              </w:rPr>
              <w:t xml:space="preserve">,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even" r:id="rId9"/>
      <w:headerReference w:type="default" r:id="rId10"/>
      <w:footerReference w:type="even" r:id="rId11"/>
      <w:footerReference w:type="default" r:id="rId12"/>
      <w:headerReference w:type="first" r:id="rId13"/>
      <w:footerReference w:type="first" r:id="rId14"/>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39" w:rsidRDefault="00E87139">
      <w:r>
        <w:separator/>
      </w:r>
    </w:p>
  </w:endnote>
  <w:endnote w:type="continuationSeparator" w:id="0">
    <w:p w:rsidR="00E87139" w:rsidRDefault="00E8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2" w:rsidRDefault="00584B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1D" w:rsidRPr="00DE2E6A" w:rsidRDefault="00DE2E6A" w:rsidP="00DE2E6A">
    <w:pPr>
      <w:pStyle w:val="Footer"/>
      <w:rPr>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584BA2">
      <w:rPr>
        <w:rFonts w:ascii="Arial" w:hAnsi="Arial" w:cs="Arial"/>
        <w:noProof/>
        <w:sz w:val="20"/>
        <w:szCs w:val="20"/>
      </w:rPr>
      <w:t>Doc_2441</w:t>
    </w:r>
    <w:r w:rsidR="001E2F50">
      <w:rPr>
        <w:rFonts w:ascii="Arial" w:hAnsi="Arial" w:cs="Arial"/>
        <w:noProof/>
        <w:sz w:val="20"/>
        <w:szCs w:val="20"/>
      </w:rPr>
      <w:t>_headspace</w:t>
    </w:r>
    <w:r>
      <w:rPr>
        <w:rFonts w:ascii="Arial" w:hAnsi="Arial" w:cs="Arial"/>
        <w:sz w:val="20"/>
        <w:szCs w:val="20"/>
      </w:rPr>
      <w:fldChar w:fldCharType="end"/>
    </w:r>
    <w:r w:rsidR="001E2F50">
      <w:rPr>
        <w:rFonts w:ascii="Arial" w:hAnsi="Arial" w:cs="Arial"/>
        <w:sz w:val="20"/>
        <w:szCs w:val="20"/>
      </w:rPr>
      <w:t>_In</w:t>
    </w:r>
    <w:r w:rsidR="008668BA">
      <w:rPr>
        <w:rFonts w:ascii="Arial" w:hAnsi="Arial" w:cs="Arial"/>
        <w:sz w:val="20"/>
        <w:szCs w:val="20"/>
      </w:rPr>
      <w:t>take Worker_V1_Review date 15/12</w:t>
    </w:r>
    <w:r w:rsidR="001E2F50">
      <w:rPr>
        <w:rFonts w:ascii="Arial" w:hAnsi="Arial" w:cs="Arial"/>
        <w:sz w:val="20"/>
        <w:szCs w:val="20"/>
      </w:rPr>
      <w:t>/202</w:t>
    </w:r>
    <w:r w:rsidR="008668BA">
      <w:rPr>
        <w:rFonts w:ascii="Arial" w:hAnsi="Arial" w:cs="Arial"/>
        <w:sz w:val="20"/>
        <w:szCs w:val="20"/>
      </w:rPr>
      <w:t>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2" w:rsidRDefault="00584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39" w:rsidRDefault="00E87139">
      <w:r>
        <w:separator/>
      </w:r>
    </w:p>
  </w:footnote>
  <w:footnote w:type="continuationSeparator" w:id="0">
    <w:p w:rsidR="00E87139" w:rsidRDefault="00E87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2" w:rsidRDefault="0058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2" w:rsidRDefault="00472EE2"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A2" w:rsidRDefault="0058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5A3F1B"/>
    <w:multiLevelType w:val="hybridMultilevel"/>
    <w:tmpl w:val="72AE21AE"/>
    <w:lvl w:ilvl="0" w:tplc="EBC21740">
      <w:start w:val="6"/>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2"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7"/>
  </w:num>
  <w:num w:numId="17">
    <w:abstractNumId w:val="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E2"/>
    <w:rsid w:val="00010E75"/>
    <w:rsid w:val="00047C55"/>
    <w:rsid w:val="00093624"/>
    <w:rsid w:val="00094B91"/>
    <w:rsid w:val="000D4B43"/>
    <w:rsid w:val="001926AF"/>
    <w:rsid w:val="00193A2B"/>
    <w:rsid w:val="001B4052"/>
    <w:rsid w:val="001C4BBA"/>
    <w:rsid w:val="001C78B9"/>
    <w:rsid w:val="001D6BE9"/>
    <w:rsid w:val="001D6C97"/>
    <w:rsid w:val="001E2F50"/>
    <w:rsid w:val="002254D4"/>
    <w:rsid w:val="00234764"/>
    <w:rsid w:val="00262B38"/>
    <w:rsid w:val="002A5470"/>
    <w:rsid w:val="002D5E6E"/>
    <w:rsid w:val="002E3D81"/>
    <w:rsid w:val="00312F86"/>
    <w:rsid w:val="00324BA5"/>
    <w:rsid w:val="0032769C"/>
    <w:rsid w:val="00367FA1"/>
    <w:rsid w:val="003E6658"/>
    <w:rsid w:val="00431631"/>
    <w:rsid w:val="00433817"/>
    <w:rsid w:val="0044150E"/>
    <w:rsid w:val="0044185A"/>
    <w:rsid w:val="00472EE2"/>
    <w:rsid w:val="00486DFD"/>
    <w:rsid w:val="004A0446"/>
    <w:rsid w:val="00502321"/>
    <w:rsid w:val="005123FC"/>
    <w:rsid w:val="005378F7"/>
    <w:rsid w:val="0054391F"/>
    <w:rsid w:val="00584BA2"/>
    <w:rsid w:val="005A7CE0"/>
    <w:rsid w:val="005C6D7F"/>
    <w:rsid w:val="005D47F9"/>
    <w:rsid w:val="0062091D"/>
    <w:rsid w:val="0067041D"/>
    <w:rsid w:val="00671109"/>
    <w:rsid w:val="00672A9B"/>
    <w:rsid w:val="00672E9F"/>
    <w:rsid w:val="006F40FB"/>
    <w:rsid w:val="006F5183"/>
    <w:rsid w:val="00781923"/>
    <w:rsid w:val="0079366E"/>
    <w:rsid w:val="007A6886"/>
    <w:rsid w:val="00817A2A"/>
    <w:rsid w:val="00833875"/>
    <w:rsid w:val="00836ACF"/>
    <w:rsid w:val="00836D69"/>
    <w:rsid w:val="00842C97"/>
    <w:rsid w:val="00860B0D"/>
    <w:rsid w:val="008668BA"/>
    <w:rsid w:val="00877BF3"/>
    <w:rsid w:val="0088557A"/>
    <w:rsid w:val="008D68F2"/>
    <w:rsid w:val="00911FFD"/>
    <w:rsid w:val="00917024"/>
    <w:rsid w:val="009504A9"/>
    <w:rsid w:val="009C7D59"/>
    <w:rsid w:val="00A74728"/>
    <w:rsid w:val="00AB572A"/>
    <w:rsid w:val="00B066B0"/>
    <w:rsid w:val="00BA6262"/>
    <w:rsid w:val="00BE2FC5"/>
    <w:rsid w:val="00BF2892"/>
    <w:rsid w:val="00C25DF4"/>
    <w:rsid w:val="00C509A2"/>
    <w:rsid w:val="00CB2958"/>
    <w:rsid w:val="00CE1804"/>
    <w:rsid w:val="00CE7182"/>
    <w:rsid w:val="00D07019"/>
    <w:rsid w:val="00D54FC8"/>
    <w:rsid w:val="00D83404"/>
    <w:rsid w:val="00DC6355"/>
    <w:rsid w:val="00DD03F5"/>
    <w:rsid w:val="00DE068C"/>
    <w:rsid w:val="00DE2E6A"/>
    <w:rsid w:val="00E01463"/>
    <w:rsid w:val="00E316C2"/>
    <w:rsid w:val="00E34141"/>
    <w:rsid w:val="00E443D1"/>
    <w:rsid w:val="00E81F85"/>
    <w:rsid w:val="00E87139"/>
    <w:rsid w:val="00EA092A"/>
    <w:rsid w:val="00ED0E9A"/>
    <w:rsid w:val="00EF4BDE"/>
    <w:rsid w:val="00F17DC2"/>
    <w:rsid w:val="00F21DB4"/>
    <w:rsid w:val="00F3404E"/>
    <w:rsid w:val="00F755B2"/>
    <w:rsid w:val="00FC221C"/>
    <w:rsid w:val="00FC34D8"/>
    <w:rsid w:val="00FE12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8F5BD"/>
  <w15:docId w15:val="{531042C7-8DBB-4CB6-8717-76753531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8D9E-05A4-4070-A356-02C9547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153</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6809</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Dave Mascall</cp:lastModifiedBy>
  <cp:revision>16</cp:revision>
  <cp:lastPrinted>2011-01-18T01:35:00Z</cp:lastPrinted>
  <dcterms:created xsi:type="dcterms:W3CDTF">2020-03-27T05:21:00Z</dcterms:created>
  <dcterms:modified xsi:type="dcterms:W3CDTF">2020-07-02T07:08:00Z</dcterms:modified>
</cp:coreProperties>
</file>