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2A2EBEB1" w:rsidR="00593583" w:rsidRPr="00593583" w:rsidRDefault="00B20205" w:rsidP="00B20205">
            <w:pPr>
              <w:tabs>
                <w:tab w:val="left" w:pos="2977"/>
              </w:tabs>
              <w:spacing w:before="120" w:after="120"/>
              <w:rPr>
                <w:rFonts w:ascii="Arial" w:hAnsi="Arial" w:cs="Arial"/>
                <w:sz w:val="22"/>
                <w:szCs w:val="23"/>
              </w:rPr>
            </w:pPr>
            <w:bookmarkStart w:id="0" w:name="_GoBack"/>
            <w:bookmarkEnd w:id="0"/>
            <w:r>
              <w:rPr>
                <w:rFonts w:ascii="Arial" w:eastAsia="Arial" w:hAnsi="Arial" w:cs="Arial"/>
                <w:sz w:val="28"/>
                <w:szCs w:val="28"/>
                <w:lang w:eastAsia="en-US"/>
              </w:rPr>
              <w:t>Revenue</w:t>
            </w:r>
            <w:r w:rsidR="00CF107A">
              <w:rPr>
                <w:rFonts w:ascii="Arial" w:eastAsia="Arial" w:hAnsi="Arial" w:cs="Arial"/>
                <w:sz w:val="28"/>
                <w:szCs w:val="28"/>
                <w:lang w:eastAsia="en-US"/>
              </w:rPr>
              <w:t xml:space="preserve"> Officer</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E39FF89" w:rsidR="00593583" w:rsidRPr="00722928" w:rsidRDefault="00245133"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35E0433B" w:rsidR="00593583" w:rsidRPr="00722928" w:rsidRDefault="00245133"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Finance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396FAE80" w:rsidR="00593583" w:rsidRPr="00722928" w:rsidRDefault="00646B92" w:rsidP="00F37FC9">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Team Leader – Rating Services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039EF397" w:rsidR="00593583" w:rsidRPr="00722928" w:rsidRDefault="00245133"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0C86362D" w:rsidR="00593583" w:rsidRPr="00722928" w:rsidRDefault="00646B92"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roofErr w:type="spellStart"/>
            <w:r>
              <w:rPr>
                <w:rFonts w:ascii="Arial" w:hAnsi="Arial" w:cs="Arial"/>
                <w:b/>
                <w:sz w:val="22"/>
                <w:szCs w:val="23"/>
              </w:rPr>
              <w:t>Yalawanyi</w:t>
            </w:r>
            <w:proofErr w:type="spellEnd"/>
            <w:r>
              <w:rPr>
                <w:rFonts w:ascii="Arial" w:hAnsi="Arial" w:cs="Arial"/>
                <w:b/>
                <w:sz w:val="22"/>
                <w:szCs w:val="23"/>
              </w:rPr>
              <w:t xml:space="preserve"> </w:t>
            </w:r>
            <w:proofErr w:type="spellStart"/>
            <w:r>
              <w:rPr>
                <w:rFonts w:ascii="Arial" w:hAnsi="Arial" w:cs="Arial"/>
                <w:b/>
                <w:sz w:val="22"/>
                <w:szCs w:val="23"/>
              </w:rPr>
              <w:t>Ganya</w:t>
            </w:r>
            <w:proofErr w:type="spellEnd"/>
            <w:r>
              <w:rPr>
                <w:rFonts w:ascii="Arial" w:hAnsi="Arial" w:cs="Arial"/>
                <w:b/>
                <w:sz w:val="22"/>
                <w:szCs w:val="23"/>
              </w:rPr>
              <w:t xml:space="preserve">, </w:t>
            </w:r>
            <w:proofErr w:type="spellStart"/>
            <w:r w:rsidR="000334B7">
              <w:rPr>
                <w:rFonts w:ascii="Arial" w:hAnsi="Arial" w:cs="Arial"/>
                <w:b/>
                <w:sz w:val="22"/>
                <w:szCs w:val="23"/>
              </w:rPr>
              <w:t>Biripi</w:t>
            </w:r>
            <w:proofErr w:type="spellEnd"/>
            <w:r w:rsidR="000334B7">
              <w:rPr>
                <w:rFonts w:ascii="Arial" w:hAnsi="Arial" w:cs="Arial"/>
                <w:b/>
                <w:sz w:val="22"/>
                <w:szCs w:val="23"/>
              </w:rPr>
              <w:t xml:space="preserve"> Way, </w:t>
            </w:r>
            <w:r w:rsidR="008763D4">
              <w:rPr>
                <w:rFonts w:ascii="Arial" w:hAnsi="Arial" w:cs="Arial"/>
                <w:b/>
                <w:sz w:val="22"/>
                <w:szCs w:val="23"/>
              </w:rPr>
              <w:t>Taree</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64EFF512" w:rsidR="00C45418" w:rsidRPr="00722928" w:rsidRDefault="00AD2B3F" w:rsidP="00646B9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6 </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091DC7CA" w:rsidR="00E47C82" w:rsidRPr="00722928" w:rsidRDefault="006E3749" w:rsidP="008763D4">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Full-time</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178A6F33" w:rsidR="00C45418" w:rsidRPr="00722928" w:rsidRDefault="006E3749" w:rsidP="006E3749">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r w:rsidR="00245133">
              <w:rPr>
                <w:rFonts w:ascii="Arial" w:hAnsi="Arial" w:cs="Arial"/>
                <w:b/>
                <w:sz w:val="22"/>
                <w:szCs w:val="23"/>
              </w:rPr>
              <w:t xml:space="preserve"> </w:t>
            </w:r>
            <w:r w:rsidR="001A1A32">
              <w:rPr>
                <w:rFonts w:ascii="Arial" w:hAnsi="Arial" w:cs="Arial"/>
                <w:b/>
                <w:sz w:val="22"/>
                <w:szCs w:val="23"/>
              </w:rPr>
              <w:t xml:space="preserve">hours </w:t>
            </w:r>
            <w:r w:rsidR="00245133">
              <w:rPr>
                <w:rFonts w:ascii="Arial" w:hAnsi="Arial" w:cs="Arial"/>
                <w:b/>
                <w:sz w:val="22"/>
                <w:szCs w:val="23"/>
              </w:rPr>
              <w:t>per week</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00C868EC" w:rsidR="00593583" w:rsidRPr="00722928" w:rsidRDefault="00286252"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27 August 2021</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5E7A6DBB" w14:textId="68C2892C" w:rsidR="00346C8B" w:rsidRDefault="00245133" w:rsidP="00EB7107">
      <w:pPr>
        <w:spacing w:before="240"/>
        <w:jc w:val="both"/>
        <w:rPr>
          <w:rFonts w:ascii="Arial" w:hAnsi="Arial" w:cs="Arial"/>
          <w:sz w:val="22"/>
          <w:szCs w:val="22"/>
        </w:rPr>
      </w:pPr>
      <w:r>
        <w:rPr>
          <w:rFonts w:ascii="Arial" w:hAnsi="Arial" w:cs="Arial"/>
          <w:sz w:val="22"/>
          <w:szCs w:val="22"/>
        </w:rPr>
        <w:t xml:space="preserve">Reporting to the </w:t>
      </w:r>
      <w:r w:rsidR="00646B92">
        <w:rPr>
          <w:rFonts w:ascii="Arial" w:hAnsi="Arial" w:cs="Arial"/>
          <w:sz w:val="22"/>
          <w:szCs w:val="22"/>
        </w:rPr>
        <w:t>Team Leader – Rating Services</w:t>
      </w:r>
      <w:r w:rsidR="008763D4">
        <w:rPr>
          <w:rFonts w:ascii="Arial" w:hAnsi="Arial" w:cs="Arial"/>
          <w:sz w:val="22"/>
          <w:szCs w:val="22"/>
        </w:rPr>
        <w:t>,</w:t>
      </w:r>
      <w:r>
        <w:rPr>
          <w:rFonts w:ascii="Arial" w:hAnsi="Arial" w:cs="Arial"/>
          <w:sz w:val="22"/>
          <w:szCs w:val="22"/>
        </w:rPr>
        <w:t xml:space="preserve"> the </w:t>
      </w:r>
      <w:r w:rsidR="00B20205">
        <w:rPr>
          <w:rFonts w:ascii="Arial" w:hAnsi="Arial" w:cs="Arial"/>
          <w:sz w:val="22"/>
          <w:szCs w:val="22"/>
        </w:rPr>
        <w:t>Revenue</w:t>
      </w:r>
      <w:r w:rsidR="00845F50">
        <w:rPr>
          <w:rFonts w:ascii="Arial" w:hAnsi="Arial" w:cs="Arial"/>
          <w:sz w:val="22"/>
          <w:szCs w:val="22"/>
        </w:rPr>
        <w:t xml:space="preserve"> Officer</w:t>
      </w:r>
      <w:r w:rsidR="00E3247C">
        <w:rPr>
          <w:rFonts w:ascii="Arial" w:hAnsi="Arial" w:cs="Arial"/>
          <w:sz w:val="22"/>
          <w:szCs w:val="22"/>
        </w:rPr>
        <w:t xml:space="preserve"> </w:t>
      </w:r>
      <w:r>
        <w:rPr>
          <w:rFonts w:ascii="Arial" w:hAnsi="Arial" w:cs="Arial"/>
          <w:sz w:val="22"/>
          <w:szCs w:val="22"/>
        </w:rPr>
        <w:t>will support and contribute to the achiev</w:t>
      </w:r>
      <w:r w:rsidR="00B20205">
        <w:rPr>
          <w:rFonts w:ascii="Arial" w:hAnsi="Arial" w:cs="Arial"/>
          <w:sz w:val="22"/>
          <w:szCs w:val="22"/>
        </w:rPr>
        <w:t>ement of</w:t>
      </w:r>
      <w:r>
        <w:rPr>
          <w:rFonts w:ascii="Arial" w:hAnsi="Arial" w:cs="Arial"/>
          <w:sz w:val="22"/>
          <w:szCs w:val="22"/>
        </w:rPr>
        <w:t xml:space="preserve"> outcomes in line with organisational and departmental strategies, objectives, vision and values.</w:t>
      </w:r>
    </w:p>
    <w:p w14:paraId="07DA8A4E" w14:textId="66A9838A" w:rsidR="00FD6A6E" w:rsidRDefault="00346C8B" w:rsidP="00AD2B3F">
      <w:pPr>
        <w:spacing w:before="240"/>
        <w:rPr>
          <w:rFonts w:ascii="Arial" w:hAnsi="Arial" w:cs="Arial"/>
          <w:sz w:val="22"/>
          <w:szCs w:val="22"/>
        </w:rPr>
      </w:pPr>
      <w:r>
        <w:rPr>
          <w:rFonts w:ascii="Arial" w:hAnsi="Arial" w:cs="Arial"/>
          <w:sz w:val="22"/>
          <w:szCs w:val="22"/>
        </w:rPr>
        <w:t xml:space="preserve">The position </w:t>
      </w:r>
      <w:r w:rsidR="008763D4">
        <w:rPr>
          <w:rFonts w:ascii="Arial" w:hAnsi="Arial" w:cs="Arial"/>
          <w:sz w:val="22"/>
          <w:szCs w:val="22"/>
        </w:rPr>
        <w:t xml:space="preserve">is responsible for </w:t>
      </w:r>
      <w:r w:rsidR="00845F50">
        <w:rPr>
          <w:rFonts w:ascii="Arial" w:hAnsi="Arial" w:cs="Arial"/>
          <w:sz w:val="22"/>
          <w:szCs w:val="22"/>
        </w:rPr>
        <w:t xml:space="preserve">assisting </w:t>
      </w:r>
      <w:r w:rsidR="00B20205">
        <w:rPr>
          <w:rFonts w:ascii="Arial" w:hAnsi="Arial" w:cs="Arial"/>
          <w:sz w:val="22"/>
          <w:szCs w:val="22"/>
        </w:rPr>
        <w:t xml:space="preserve">undertaking general administrative and financial tasks associated with Council’s Rating </w:t>
      </w:r>
      <w:r w:rsidR="00BA43E0">
        <w:rPr>
          <w:rFonts w:ascii="Arial" w:hAnsi="Arial" w:cs="Arial"/>
          <w:sz w:val="22"/>
          <w:szCs w:val="22"/>
        </w:rPr>
        <w:t xml:space="preserve">and Billing </w:t>
      </w:r>
      <w:r w:rsidR="00B20205">
        <w:rPr>
          <w:rFonts w:ascii="Arial" w:hAnsi="Arial" w:cs="Arial"/>
          <w:sz w:val="22"/>
          <w:szCs w:val="22"/>
        </w:rPr>
        <w:t>functions, systems and processes and for ensuring that customer service is provided at adopted levels.</w:t>
      </w:r>
      <w:r>
        <w:rPr>
          <w:rFonts w:ascii="Arial" w:hAnsi="Arial" w:cs="Arial"/>
          <w:sz w:val="22"/>
          <w:szCs w:val="22"/>
        </w:rPr>
        <w:t xml:space="preserve"> </w:t>
      </w:r>
      <w:r w:rsidR="00FD6A6E" w:rsidRPr="00D76C65">
        <w:rPr>
          <w:rFonts w:cs="Arial"/>
        </w:rPr>
        <w:br/>
      </w:r>
    </w:p>
    <w:p w14:paraId="2D1C2114" w14:textId="519810B9" w:rsidR="006438F8" w:rsidRDefault="006438F8" w:rsidP="00AA1327">
      <w:pPr>
        <w:spacing w:before="240"/>
        <w:rPr>
          <w:rFonts w:ascii="Arial" w:hAnsi="Arial" w:cs="Arial"/>
          <w:sz w:val="22"/>
          <w:szCs w:val="22"/>
        </w:rPr>
      </w:pPr>
    </w:p>
    <w:p w14:paraId="51C677A7" w14:textId="77777777" w:rsidR="00845F50" w:rsidRPr="00D76C65" w:rsidRDefault="00845F50" w:rsidP="00AA1327">
      <w:pPr>
        <w:spacing w:before="240"/>
        <w:rPr>
          <w:rFonts w:ascii="Arial" w:hAnsi="Arial" w:cs="Arial"/>
          <w:sz w:val="22"/>
          <w:szCs w:val="22"/>
        </w:rPr>
      </w:pP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lastRenderedPageBreak/>
        <w:t>Key Accountabilities &amp; Duties</w:t>
      </w:r>
    </w:p>
    <w:p w14:paraId="714E8C22" w14:textId="18D4B23D" w:rsidR="00B20205" w:rsidRPr="00B20205" w:rsidRDefault="00B20205" w:rsidP="00310A1A">
      <w:pPr>
        <w:pStyle w:val="ListParagraph"/>
        <w:numPr>
          <w:ilvl w:val="0"/>
          <w:numId w:val="6"/>
        </w:numPr>
        <w:spacing w:before="120" w:after="60"/>
        <w:ind w:left="357" w:hanging="357"/>
        <w:contextualSpacing w:val="0"/>
        <w:jc w:val="both"/>
        <w:rPr>
          <w:rFonts w:cs="Arial"/>
        </w:rPr>
      </w:pPr>
      <w:r w:rsidRPr="00B20205">
        <w:rPr>
          <w:rFonts w:eastAsia="Times New Roman" w:cs="Arial"/>
          <w:lang w:eastAsia="en-US"/>
        </w:rPr>
        <w:t>Determine eligibility of pensioners for rebates, process pension rebate applications, and enter rebates and pension flags/Centrelink details on system master files in accordance with the provisions of the Local Government Act and government department conditions of usage and within agreed timeframes.</w:t>
      </w:r>
    </w:p>
    <w:p w14:paraId="5FBB83BD" w14:textId="77777777" w:rsidR="00A50031" w:rsidRPr="00A50031" w:rsidRDefault="00A50031"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Validate pension rebate applications in accordance with Centrelink and Department of Veteran Services procedures.</w:t>
      </w:r>
    </w:p>
    <w:p w14:paraId="4FC017C0" w14:textId="77777777" w:rsidR="00A50031" w:rsidRPr="00A50031" w:rsidRDefault="00A50031"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Process adjustments to pension rebates as required following completion of validation of data with government departments in accordance with adopted processes.</w:t>
      </w:r>
    </w:p>
    <w:p w14:paraId="117F8D00" w14:textId="4A1F2481" w:rsidR="00A50031" w:rsidRPr="00A50031" w:rsidRDefault="00A50031"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Process adjustments to rates assessments within agreed timeframes following receipt of properly authorised requests. Ensure that appropriate system maintenance is undertaken if required.</w:t>
      </w:r>
    </w:p>
    <w:p w14:paraId="771CD59F" w14:textId="690AA62A" w:rsidR="00A50031" w:rsidRPr="00477556" w:rsidRDefault="00477556"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 xml:space="preserve">Ensure that electronic payment files are downloaded each day for receipting / upload / allocation to correct assessments / accounts. Investigate and correct errors / mismatches within agreed timeframes. </w:t>
      </w:r>
    </w:p>
    <w:p w14:paraId="589590D8" w14:textId="07F752E5" w:rsidR="00477556" w:rsidRPr="00477556" w:rsidRDefault="00477556"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 xml:space="preserve">Process and input all direct debit requests from customers against relevant assessments / accounts and </w:t>
      </w:r>
      <w:r w:rsidR="00896646">
        <w:rPr>
          <w:rFonts w:eastAsia="Times New Roman" w:cs="Arial"/>
          <w:lang w:eastAsia="en-US"/>
        </w:rPr>
        <w:t xml:space="preserve">ensure </w:t>
      </w:r>
      <w:r>
        <w:rPr>
          <w:rFonts w:eastAsia="Times New Roman" w:cs="Arial"/>
          <w:lang w:eastAsia="en-US"/>
        </w:rPr>
        <w:t xml:space="preserve">that requests are stored in accordance with </w:t>
      </w:r>
      <w:r w:rsidR="00896646">
        <w:rPr>
          <w:rFonts w:eastAsia="Times New Roman" w:cs="Arial"/>
          <w:lang w:eastAsia="en-US"/>
        </w:rPr>
        <w:t xml:space="preserve">statutory </w:t>
      </w:r>
      <w:r>
        <w:rPr>
          <w:rFonts w:eastAsia="Times New Roman" w:cs="Arial"/>
          <w:lang w:eastAsia="en-US"/>
        </w:rPr>
        <w:t>requirements.</w:t>
      </w:r>
    </w:p>
    <w:p w14:paraId="574580EC" w14:textId="685929C5" w:rsidR="00477556" w:rsidRDefault="00477556" w:rsidP="00310A1A">
      <w:pPr>
        <w:pStyle w:val="ListParagraph"/>
        <w:numPr>
          <w:ilvl w:val="0"/>
          <w:numId w:val="6"/>
        </w:numPr>
        <w:spacing w:before="120" w:after="60"/>
        <w:ind w:left="357" w:hanging="357"/>
        <w:contextualSpacing w:val="0"/>
        <w:jc w:val="both"/>
        <w:rPr>
          <w:rFonts w:cs="Arial"/>
        </w:rPr>
      </w:pPr>
      <w:r>
        <w:rPr>
          <w:rFonts w:cs="Arial"/>
        </w:rPr>
        <w:t>Extract Direct Debit details from relevant systems ensuring that correct amounts have been extracted. Arrange for upload of files for transmission to Council’s bank.</w:t>
      </w:r>
    </w:p>
    <w:p w14:paraId="3FA45A49" w14:textId="10A054FB" w:rsidR="00B220B0" w:rsidRDefault="00B220B0" w:rsidP="00310A1A">
      <w:pPr>
        <w:pStyle w:val="ListParagraph"/>
        <w:numPr>
          <w:ilvl w:val="0"/>
          <w:numId w:val="6"/>
        </w:numPr>
        <w:spacing w:before="120" w:after="60"/>
        <w:ind w:left="357" w:hanging="357"/>
        <w:contextualSpacing w:val="0"/>
        <w:jc w:val="both"/>
        <w:rPr>
          <w:rFonts w:cs="Arial"/>
        </w:rPr>
      </w:pPr>
      <w:r>
        <w:rPr>
          <w:rFonts w:cs="Arial"/>
        </w:rPr>
        <w:t>Process rejected direct debit transactions, dishonoured cheques and undertake follow-up action as required.</w:t>
      </w:r>
    </w:p>
    <w:p w14:paraId="17717FCA" w14:textId="42F9A098" w:rsidR="00B233F2" w:rsidRDefault="00B233F2" w:rsidP="00310A1A">
      <w:pPr>
        <w:pStyle w:val="ListParagraph"/>
        <w:numPr>
          <w:ilvl w:val="0"/>
          <w:numId w:val="6"/>
        </w:numPr>
        <w:spacing w:before="120" w:after="60"/>
        <w:ind w:left="357" w:hanging="357"/>
        <w:contextualSpacing w:val="0"/>
        <w:jc w:val="both"/>
        <w:rPr>
          <w:rFonts w:cs="Arial"/>
        </w:rPr>
      </w:pPr>
      <w:r>
        <w:rPr>
          <w:rFonts w:cs="Arial"/>
        </w:rPr>
        <w:t>Process Notices of Sale received from Land &amp; Property Information (LPI) ensuring that appropriate amendments are made to assessments / accounts to deal with direct debit and pension entitlements of former owners and that assessment / account balances/refunds are appropriately allocated.</w:t>
      </w:r>
    </w:p>
    <w:p w14:paraId="7D92AE2C" w14:textId="3C95368E" w:rsidR="00B233F2" w:rsidRDefault="00B233F2" w:rsidP="00310A1A">
      <w:pPr>
        <w:pStyle w:val="ListParagraph"/>
        <w:numPr>
          <w:ilvl w:val="0"/>
          <w:numId w:val="6"/>
        </w:numPr>
        <w:spacing w:before="120" w:after="60"/>
        <w:ind w:left="357" w:hanging="357"/>
        <w:contextualSpacing w:val="0"/>
        <w:jc w:val="both"/>
        <w:rPr>
          <w:rFonts w:cs="Arial"/>
        </w:rPr>
      </w:pPr>
      <w:r>
        <w:rPr>
          <w:rFonts w:cs="Arial"/>
        </w:rPr>
        <w:t>Raise, amend or abandon</w:t>
      </w:r>
      <w:r w:rsidR="006158E1">
        <w:rPr>
          <w:rFonts w:cs="Arial"/>
        </w:rPr>
        <w:t xml:space="preserve"> rates, annual charges and extra charges where appropriately notified and authorised. Complete journal entries in a timely and accurate manner ensuring that correct charges are levied and that appropriate coding occurs to ensure that future accounts are correct.</w:t>
      </w:r>
    </w:p>
    <w:p w14:paraId="3F47BC14" w14:textId="3633CC32" w:rsidR="00477556" w:rsidRDefault="00477556" w:rsidP="00310A1A">
      <w:pPr>
        <w:pStyle w:val="ListParagraph"/>
        <w:numPr>
          <w:ilvl w:val="0"/>
          <w:numId w:val="6"/>
        </w:numPr>
        <w:spacing w:before="120" w:after="60"/>
        <w:ind w:left="357" w:hanging="357"/>
        <w:contextualSpacing w:val="0"/>
        <w:jc w:val="both"/>
        <w:rPr>
          <w:rFonts w:cs="Arial"/>
        </w:rPr>
      </w:pPr>
      <w:r>
        <w:rPr>
          <w:rFonts w:cs="Arial"/>
        </w:rPr>
        <w:t>Prepare Section 603 and 735A</w:t>
      </w:r>
      <w:r w:rsidR="00B66EF8">
        <w:rPr>
          <w:rFonts w:cs="Arial"/>
        </w:rPr>
        <w:t xml:space="preserve"> Certificates for review and issue</w:t>
      </w:r>
      <w:r w:rsidR="00896646">
        <w:rPr>
          <w:rFonts w:cs="Arial"/>
        </w:rPr>
        <w:t>,</w:t>
      </w:r>
      <w:r w:rsidR="00B66EF8">
        <w:rPr>
          <w:rFonts w:cs="Arial"/>
        </w:rPr>
        <w:t xml:space="preserve"> ensuring that the correct property is selected and payment status is current.</w:t>
      </w:r>
    </w:p>
    <w:p w14:paraId="33EEF2DE" w14:textId="612B62C5" w:rsidR="00B66EF8" w:rsidRPr="00A50031" w:rsidRDefault="00B66EF8" w:rsidP="00310A1A">
      <w:pPr>
        <w:pStyle w:val="ListParagraph"/>
        <w:numPr>
          <w:ilvl w:val="0"/>
          <w:numId w:val="6"/>
        </w:numPr>
        <w:spacing w:before="120" w:after="60"/>
        <w:ind w:left="357" w:hanging="357"/>
        <w:contextualSpacing w:val="0"/>
        <w:jc w:val="both"/>
        <w:rPr>
          <w:rFonts w:cs="Arial"/>
        </w:rPr>
      </w:pPr>
      <w:r>
        <w:rPr>
          <w:rFonts w:cs="Arial"/>
        </w:rPr>
        <w:t>Manually adjust certificates for any property that may have been sub-divided and</w:t>
      </w:r>
      <w:r w:rsidR="00896646">
        <w:rPr>
          <w:rFonts w:cs="Arial"/>
        </w:rPr>
        <w:t>/or</w:t>
      </w:r>
      <w:r>
        <w:rPr>
          <w:rFonts w:cs="Arial"/>
        </w:rPr>
        <w:t xml:space="preserve"> where rates need to re-levied and ensure that notations are made against assessments / accounts to enable verbal updates to </w:t>
      </w:r>
      <w:proofErr w:type="spellStart"/>
      <w:proofErr w:type="gramStart"/>
      <w:r>
        <w:rPr>
          <w:rFonts w:cs="Arial"/>
        </w:rPr>
        <w:t>provided</w:t>
      </w:r>
      <w:proofErr w:type="spellEnd"/>
      <w:proofErr w:type="gramEnd"/>
      <w:r w:rsidR="007811C6">
        <w:rPr>
          <w:rFonts w:cs="Arial"/>
        </w:rPr>
        <w:t xml:space="preserve"> to customers</w:t>
      </w:r>
      <w:r>
        <w:rPr>
          <w:rFonts w:cs="Arial"/>
        </w:rPr>
        <w:t xml:space="preserve">. </w:t>
      </w:r>
    </w:p>
    <w:p w14:paraId="27685ED6" w14:textId="759769BE" w:rsidR="00845F50" w:rsidRDefault="00B220B0" w:rsidP="0051149F">
      <w:pPr>
        <w:pStyle w:val="ListParagraph"/>
        <w:numPr>
          <w:ilvl w:val="0"/>
          <w:numId w:val="6"/>
        </w:numPr>
        <w:spacing w:before="120" w:after="60"/>
        <w:ind w:left="357" w:hanging="357"/>
        <w:contextualSpacing w:val="0"/>
        <w:jc w:val="both"/>
        <w:rPr>
          <w:rFonts w:cs="Arial"/>
        </w:rPr>
      </w:pPr>
      <w:r>
        <w:rPr>
          <w:rFonts w:cs="Arial"/>
        </w:rPr>
        <w:t xml:space="preserve">Arrange for special </w:t>
      </w:r>
      <w:r w:rsidR="00896646">
        <w:rPr>
          <w:rFonts w:cs="Arial"/>
        </w:rPr>
        <w:t xml:space="preserve">water </w:t>
      </w:r>
      <w:r>
        <w:rPr>
          <w:rFonts w:cs="Arial"/>
        </w:rPr>
        <w:t>meter readings to be taken and produce special meter reading certificates for water usage.</w:t>
      </w:r>
    </w:p>
    <w:p w14:paraId="40945A85" w14:textId="5838D5DE" w:rsidR="00B220B0" w:rsidRDefault="00B220B0" w:rsidP="0051149F">
      <w:pPr>
        <w:pStyle w:val="ListParagraph"/>
        <w:numPr>
          <w:ilvl w:val="0"/>
          <w:numId w:val="6"/>
        </w:numPr>
        <w:spacing w:before="120" w:after="60"/>
        <w:ind w:left="357" w:hanging="357"/>
        <w:contextualSpacing w:val="0"/>
        <w:jc w:val="both"/>
        <w:rPr>
          <w:rFonts w:cs="Arial"/>
        </w:rPr>
      </w:pPr>
      <w:r>
        <w:rPr>
          <w:rFonts w:cs="Arial"/>
        </w:rPr>
        <w:t xml:space="preserve">Attend and respond to </w:t>
      </w:r>
      <w:r w:rsidR="00B233F2">
        <w:rPr>
          <w:rFonts w:cs="Arial"/>
        </w:rPr>
        <w:t xml:space="preserve">customer correspondence and enquiries (irrespective of format or media) </w:t>
      </w:r>
      <w:r>
        <w:rPr>
          <w:rFonts w:cs="Arial"/>
        </w:rPr>
        <w:t xml:space="preserve">in a courteous and prompt manner in accordance with </w:t>
      </w:r>
      <w:r w:rsidR="00B233F2">
        <w:rPr>
          <w:rFonts w:cs="Arial"/>
        </w:rPr>
        <w:t>c</w:t>
      </w:r>
      <w:r>
        <w:rPr>
          <w:rFonts w:cs="Arial"/>
        </w:rPr>
        <w:t>orporate standards</w:t>
      </w:r>
      <w:r w:rsidR="00B233F2">
        <w:rPr>
          <w:rFonts w:cs="Arial"/>
        </w:rPr>
        <w:t xml:space="preserve"> and timeframes.</w:t>
      </w:r>
    </w:p>
    <w:p w14:paraId="39F19061" w14:textId="73ED90EB" w:rsidR="00016FD9" w:rsidRPr="00AD2B3F" w:rsidRDefault="00016FD9" w:rsidP="0051149F">
      <w:pPr>
        <w:pStyle w:val="ListParagraph"/>
        <w:numPr>
          <w:ilvl w:val="0"/>
          <w:numId w:val="6"/>
        </w:numPr>
        <w:spacing w:before="120" w:after="60"/>
        <w:ind w:left="357" w:hanging="357"/>
        <w:contextualSpacing w:val="0"/>
        <w:jc w:val="both"/>
        <w:rPr>
          <w:rFonts w:cs="Arial"/>
        </w:rPr>
      </w:pPr>
      <w:r>
        <w:rPr>
          <w:rFonts w:cs="Arial"/>
        </w:rPr>
        <w:t>Assist all Revenue staff as required to ensure the section functions efficiently and provides a high level of service to the community, management, other staff and other customers.</w:t>
      </w:r>
    </w:p>
    <w:p w14:paraId="0D8CD9C5" w14:textId="26938AEA" w:rsidR="00E6386C" w:rsidRPr="00E6386C" w:rsidRDefault="00245133" w:rsidP="00E6386C">
      <w:pPr>
        <w:pStyle w:val="ListParagraph"/>
        <w:numPr>
          <w:ilvl w:val="0"/>
          <w:numId w:val="6"/>
        </w:numPr>
        <w:spacing w:before="120" w:after="60"/>
        <w:contextualSpacing w:val="0"/>
        <w:jc w:val="both"/>
        <w:rPr>
          <w:rFonts w:cs="Arial"/>
        </w:rPr>
      </w:pPr>
      <w:r>
        <w:rPr>
          <w:rFonts w:cs="Arial"/>
        </w:rPr>
        <w:t>Role model and encourage behaviours that align with Council’s Organisational Values.</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lastRenderedPageBreak/>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05CEED1F"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764DC534" w14:textId="77777777" w:rsidR="00845F50" w:rsidRPr="00845F50" w:rsidRDefault="00845F50" w:rsidP="00845F50">
      <w:pPr>
        <w:spacing w:before="120"/>
        <w:jc w:val="both"/>
        <w:rPr>
          <w:rFonts w:cs="Arial"/>
        </w:rPr>
      </w:pP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3F8AE68" w14:textId="29A41DA5" w:rsidR="00E6386C" w:rsidRDefault="00AF0121" w:rsidP="00AA1327">
      <w:pPr>
        <w:pStyle w:val="ListParagraph"/>
        <w:numPr>
          <w:ilvl w:val="0"/>
          <w:numId w:val="7"/>
        </w:numPr>
        <w:spacing w:before="120"/>
        <w:contextualSpacing w:val="0"/>
        <w:jc w:val="both"/>
        <w:rPr>
          <w:rFonts w:cs="Arial"/>
        </w:rPr>
      </w:pPr>
      <w:r>
        <w:rPr>
          <w:rFonts w:eastAsia="Times New Roman" w:cs="Arial"/>
          <w:lang w:eastAsia="en-US"/>
        </w:rPr>
        <w:t xml:space="preserve">Minimum </w:t>
      </w:r>
      <w:r w:rsidRPr="00B45146">
        <w:rPr>
          <w:rFonts w:eastAsia="Times New Roman" w:cs="Arial"/>
          <w:lang w:eastAsia="en-US"/>
        </w:rPr>
        <w:t>TAFE Certificate IV in Accounting / Finance or equivalent</w:t>
      </w:r>
      <w:r>
        <w:rPr>
          <w:rFonts w:eastAsia="Times New Roman" w:cs="Arial"/>
          <w:lang w:eastAsia="en-US"/>
        </w:rPr>
        <w:t xml:space="preserve"> with a preference for </w:t>
      </w:r>
      <w:r w:rsidR="006438F8">
        <w:rPr>
          <w:rFonts w:cs="Arial"/>
        </w:rPr>
        <w:t>D</w:t>
      </w:r>
      <w:r w:rsidR="00845F50">
        <w:rPr>
          <w:rFonts w:cs="Arial"/>
        </w:rPr>
        <w:t>iploma</w:t>
      </w:r>
      <w:r w:rsidR="006438F8">
        <w:rPr>
          <w:rFonts w:cs="Arial"/>
        </w:rPr>
        <w:t xml:space="preserve"> level qualifications.</w:t>
      </w:r>
    </w:p>
    <w:p w14:paraId="50F88145" w14:textId="6A14BD1A" w:rsidR="00845F50" w:rsidRPr="00845F50" w:rsidRDefault="00845F50" w:rsidP="00AA1327">
      <w:pPr>
        <w:pStyle w:val="ListParagraph"/>
        <w:numPr>
          <w:ilvl w:val="0"/>
          <w:numId w:val="7"/>
        </w:numPr>
        <w:spacing w:before="120" w:line="276" w:lineRule="auto"/>
        <w:contextualSpacing w:val="0"/>
        <w:jc w:val="both"/>
        <w:rPr>
          <w:rFonts w:cs="Arial"/>
          <w:szCs w:val="23"/>
        </w:rPr>
      </w:pPr>
      <w:r w:rsidRPr="009B6230">
        <w:rPr>
          <w:rFonts w:cs="Arial"/>
        </w:rPr>
        <w:t>Relevant experience in the processing/ recording</w:t>
      </w:r>
      <w:r w:rsidR="00016FD9">
        <w:rPr>
          <w:rFonts w:cs="Arial"/>
        </w:rPr>
        <w:t xml:space="preserve"> / reconciliation </w:t>
      </w:r>
      <w:r w:rsidRPr="009B6230">
        <w:rPr>
          <w:rFonts w:cs="Arial"/>
        </w:rPr>
        <w:t xml:space="preserve">of financial </w:t>
      </w:r>
      <w:r w:rsidR="00016FD9">
        <w:rPr>
          <w:rFonts w:cs="Arial"/>
        </w:rPr>
        <w:t xml:space="preserve">and property based </w:t>
      </w:r>
      <w:r w:rsidRPr="009B6230">
        <w:rPr>
          <w:rFonts w:cs="Arial"/>
        </w:rPr>
        <w:t>transactions in an accounting / finance based environment.</w:t>
      </w:r>
    </w:p>
    <w:p w14:paraId="0EDB8A9F" w14:textId="3919CD05" w:rsidR="00845F50" w:rsidRPr="00016FD9" w:rsidRDefault="00AF0121" w:rsidP="000108CA">
      <w:pPr>
        <w:pStyle w:val="ListParagraph"/>
        <w:numPr>
          <w:ilvl w:val="0"/>
          <w:numId w:val="7"/>
        </w:numPr>
        <w:spacing w:before="120" w:line="276" w:lineRule="auto"/>
        <w:contextualSpacing w:val="0"/>
        <w:jc w:val="both"/>
        <w:rPr>
          <w:rFonts w:cs="Arial"/>
        </w:rPr>
      </w:pPr>
      <w:r w:rsidRPr="00AF0121">
        <w:rPr>
          <w:rFonts w:eastAsia="Times New Roman" w:cs="Arial"/>
          <w:lang w:eastAsia="en-US"/>
        </w:rPr>
        <w:t>Demonstrated experience in the interpretation of documentation such as legislation, regulations or standards relevant to the role being undertaken.</w:t>
      </w:r>
    </w:p>
    <w:p w14:paraId="2DDB0DF0" w14:textId="62A197A1" w:rsidR="00016FD9" w:rsidRPr="00AF0121" w:rsidRDefault="00896646" w:rsidP="000108CA">
      <w:pPr>
        <w:pStyle w:val="ListParagraph"/>
        <w:numPr>
          <w:ilvl w:val="0"/>
          <w:numId w:val="7"/>
        </w:numPr>
        <w:spacing w:before="120" w:line="276" w:lineRule="auto"/>
        <w:contextualSpacing w:val="0"/>
        <w:jc w:val="both"/>
        <w:rPr>
          <w:rFonts w:cs="Arial"/>
        </w:rPr>
      </w:pPr>
      <w:r>
        <w:rPr>
          <w:rFonts w:eastAsia="Times New Roman" w:cs="Arial"/>
          <w:lang w:eastAsia="en-US"/>
        </w:rPr>
        <w:t>Demonstrated commitment and experience in the provision of quality customer service to internal and external customers.</w:t>
      </w:r>
    </w:p>
    <w:p w14:paraId="1211AD72" w14:textId="5B71C403" w:rsidR="00845F50" w:rsidRDefault="00845F50" w:rsidP="008217A1">
      <w:pPr>
        <w:pStyle w:val="ListParagraph"/>
        <w:numPr>
          <w:ilvl w:val="0"/>
          <w:numId w:val="7"/>
        </w:numPr>
        <w:spacing w:before="120"/>
        <w:contextualSpacing w:val="0"/>
        <w:jc w:val="both"/>
        <w:rPr>
          <w:rFonts w:cs="Arial"/>
        </w:rPr>
      </w:pPr>
      <w:r w:rsidRPr="009B6230">
        <w:rPr>
          <w:rFonts w:cs="Arial"/>
        </w:rPr>
        <w:t xml:space="preserve">Demonstrated experience in Microsoft Office products (particularly Microsoft Excel) and recognised accounting </w:t>
      </w:r>
      <w:r w:rsidR="00896646">
        <w:rPr>
          <w:rFonts w:cs="Arial"/>
        </w:rPr>
        <w:t xml:space="preserve">or property based </w:t>
      </w:r>
      <w:r w:rsidRPr="009B6230">
        <w:rPr>
          <w:rFonts w:cs="Arial"/>
        </w:rPr>
        <w:t>software packages with the ability to quickly become competent in the use of new systems / programs.</w:t>
      </w:r>
    </w:p>
    <w:p w14:paraId="0A155D7D" w14:textId="70B04B97" w:rsidR="00646B92" w:rsidRPr="009B6230" w:rsidRDefault="00646B92" w:rsidP="008217A1">
      <w:pPr>
        <w:pStyle w:val="ListParagraph"/>
        <w:numPr>
          <w:ilvl w:val="0"/>
          <w:numId w:val="7"/>
        </w:numPr>
        <w:spacing w:before="120"/>
        <w:contextualSpacing w:val="0"/>
        <w:jc w:val="both"/>
        <w:rPr>
          <w:rFonts w:cs="Arial"/>
        </w:rPr>
      </w:pPr>
      <w:r>
        <w:rPr>
          <w:rFonts w:cs="Arial"/>
        </w:rPr>
        <w:t>Demonstrated ability to develop and maintain constructive relationships, both internally and externally, that contribute to the achievement of organisational outcomes.</w:t>
      </w:r>
    </w:p>
    <w:p w14:paraId="7D4EB96D" w14:textId="1A393BD0"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1227EFF9" w:rsidR="00EF7172" w:rsidRPr="00080514"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07AD7655"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475855E6" w14:textId="77777777" w:rsidR="0061056D" w:rsidRDefault="0061056D" w:rsidP="00AC5699">
      <w:pPr>
        <w:spacing w:before="240"/>
        <w:jc w:val="both"/>
        <w:rPr>
          <w:rFonts w:ascii="Arial" w:hAnsi="Arial" w:cs="Arial"/>
          <w:sz w:val="22"/>
          <w:szCs w:val="22"/>
        </w:rPr>
      </w:pPr>
    </w:p>
    <w:p w14:paraId="574E2467" w14:textId="77777777" w:rsidR="0061056D" w:rsidRDefault="0061056D"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41"/>
        <w:gridCol w:w="4439"/>
        <w:gridCol w:w="2790"/>
      </w:tblGrid>
      <w:tr w:rsidR="00657E16" w14:paraId="7178BDFA" w14:textId="77777777" w:rsidTr="00657E16">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58D7FFAF" w14:textId="77777777" w:rsidR="00657E16" w:rsidRDefault="00657E16" w:rsidP="00EA7CD3">
            <w:pPr>
              <w:pStyle w:val="TableTextWhite"/>
              <w:keepNext/>
            </w:pPr>
            <w:r>
              <w:lastRenderedPageBreak/>
              <w:t>Local Government Capability Framework</w:t>
            </w:r>
          </w:p>
        </w:tc>
      </w:tr>
      <w:tr w:rsidR="00425747" w:rsidRPr="00C978B9" w14:paraId="10F44C56"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1841" w:type="dxa"/>
            <w:tcBorders>
              <w:bottom w:val="single" w:sz="12" w:space="0" w:color="auto"/>
            </w:tcBorders>
            <w:shd w:val="clear" w:color="auto" w:fill="BCBEC0"/>
            <w:vAlign w:val="center"/>
          </w:tcPr>
          <w:p w14:paraId="014C3437" w14:textId="77777777" w:rsidR="00425747" w:rsidRPr="00C978B9" w:rsidRDefault="00425747" w:rsidP="00D80E67">
            <w:pPr>
              <w:pStyle w:val="TableText"/>
              <w:keepNext/>
              <w:rPr>
                <w:b/>
                <w:sz w:val="24"/>
                <w:szCs w:val="24"/>
              </w:rPr>
            </w:pPr>
            <w:r>
              <w:rPr>
                <w:b/>
              </w:rPr>
              <w:t>Capability Group</w:t>
            </w:r>
          </w:p>
        </w:tc>
        <w:tc>
          <w:tcPr>
            <w:tcW w:w="4439" w:type="dxa"/>
            <w:tcBorders>
              <w:bottom w:val="single" w:sz="12" w:space="0" w:color="auto"/>
            </w:tcBorders>
            <w:shd w:val="clear" w:color="auto" w:fill="BCBEC0"/>
          </w:tcPr>
          <w:p w14:paraId="637BE471" w14:textId="77777777" w:rsidR="00425747" w:rsidRPr="00C978B9" w:rsidRDefault="00425747" w:rsidP="00D80E67">
            <w:pPr>
              <w:pStyle w:val="TableText"/>
              <w:keepNext/>
              <w:rPr>
                <w:b/>
                <w:sz w:val="24"/>
                <w:szCs w:val="24"/>
              </w:rPr>
            </w:pPr>
            <w:r w:rsidRPr="00021C23">
              <w:rPr>
                <w:b/>
              </w:rPr>
              <w:t>Ca</w:t>
            </w:r>
            <w:r>
              <w:rPr>
                <w:b/>
              </w:rPr>
              <w:t>pability Name</w:t>
            </w:r>
          </w:p>
        </w:tc>
        <w:tc>
          <w:tcPr>
            <w:tcW w:w="2790" w:type="dxa"/>
            <w:tcBorders>
              <w:bottom w:val="single" w:sz="12" w:space="0" w:color="auto"/>
            </w:tcBorders>
            <w:shd w:val="clear" w:color="auto" w:fill="BCBEC0"/>
          </w:tcPr>
          <w:p w14:paraId="22F7A150" w14:textId="77777777" w:rsidR="00425747" w:rsidRPr="00C978B9" w:rsidRDefault="00425747" w:rsidP="00D80E67">
            <w:pPr>
              <w:pStyle w:val="TableText"/>
              <w:keepNext/>
              <w:rPr>
                <w:b/>
                <w:sz w:val="24"/>
                <w:szCs w:val="24"/>
              </w:rPr>
            </w:pPr>
            <w:r>
              <w:rPr>
                <w:b/>
              </w:rPr>
              <w:t>Level</w:t>
            </w:r>
          </w:p>
        </w:tc>
      </w:tr>
      <w:tr w:rsidR="00425747" w:rsidRPr="00C978B9" w14:paraId="4079C705"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gems" w:sz="8" w:space="0" w:color="BCBEC0"/>
              <w:bottom w:val="single" w:sz="8" w:space="0" w:color="BCBEC0"/>
            </w:tcBorders>
            <w:vAlign w:val="center"/>
          </w:tcPr>
          <w:p w14:paraId="072143A8" w14:textId="77777777" w:rsidR="00425747" w:rsidRPr="00D97503" w:rsidRDefault="00425747" w:rsidP="00D80E67">
            <w:pPr>
              <w:keepNext/>
              <w:rPr>
                <w:sz w:val="18"/>
                <w:szCs w:val="18"/>
              </w:rPr>
            </w:pPr>
            <w:r>
              <w:rPr>
                <w:noProof/>
                <w:lang w:eastAsia="en-AU"/>
              </w:rPr>
              <w:drawing>
                <wp:inline distT="0" distB="0" distL="0" distR="0" wp14:anchorId="47A75672" wp14:editId="79AC2A7A">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39" w:type="dxa"/>
            <w:tcBorders>
              <w:top w:val="gems" w:sz="8" w:space="0" w:color="BCBEC0"/>
              <w:bottom w:val="single" w:sz="8" w:space="0" w:color="BCBEC0"/>
            </w:tcBorders>
          </w:tcPr>
          <w:p w14:paraId="222D314A" w14:textId="77777777" w:rsidR="00425747" w:rsidRPr="00610758" w:rsidRDefault="00425747" w:rsidP="00D80E67">
            <w:pPr>
              <w:pStyle w:val="TableText"/>
              <w:keepNext/>
              <w:rPr>
                <w:b/>
                <w:sz w:val="24"/>
                <w:szCs w:val="24"/>
              </w:rPr>
            </w:pPr>
            <w:r>
              <w:t>Manage Self</w:t>
            </w:r>
          </w:p>
        </w:tc>
        <w:tc>
          <w:tcPr>
            <w:tcW w:w="2790" w:type="dxa"/>
            <w:tcBorders>
              <w:top w:val="gems" w:sz="8" w:space="0" w:color="BCBEC0"/>
              <w:bottom w:val="single" w:sz="8" w:space="0" w:color="BCBEC0"/>
            </w:tcBorders>
          </w:tcPr>
          <w:p w14:paraId="3AC8B2A2" w14:textId="2A783639" w:rsidR="00425747" w:rsidRPr="00D97503" w:rsidRDefault="00AD2B3F" w:rsidP="00D80E67">
            <w:pPr>
              <w:pStyle w:val="TableText"/>
              <w:keepNext/>
            </w:pPr>
            <w:r>
              <w:t>Intermediate</w:t>
            </w:r>
          </w:p>
        </w:tc>
      </w:tr>
      <w:tr w:rsidR="00425747" w:rsidRPr="00C978B9" w14:paraId="4626C732"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1AD4E050" w14:textId="77777777" w:rsidR="00425747" w:rsidRPr="00C978B9" w:rsidRDefault="00425747" w:rsidP="00D80E67">
            <w:pPr>
              <w:keepNext/>
            </w:pPr>
          </w:p>
        </w:tc>
        <w:tc>
          <w:tcPr>
            <w:tcW w:w="4439" w:type="dxa"/>
            <w:tcBorders>
              <w:top w:val="single" w:sz="8" w:space="0" w:color="BCBEC0"/>
            </w:tcBorders>
          </w:tcPr>
          <w:p w14:paraId="73AE1A33" w14:textId="77777777" w:rsidR="00425747" w:rsidRPr="00D97503" w:rsidRDefault="00425747" w:rsidP="00D80E67">
            <w:pPr>
              <w:pStyle w:val="TableText"/>
              <w:keepNext/>
              <w:rPr>
                <w:sz w:val="24"/>
                <w:szCs w:val="24"/>
              </w:rPr>
            </w:pPr>
            <w:r w:rsidRPr="00D97503">
              <w:t>Display Resilience and Courage</w:t>
            </w:r>
          </w:p>
        </w:tc>
        <w:tc>
          <w:tcPr>
            <w:tcW w:w="2790" w:type="dxa"/>
            <w:tcBorders>
              <w:top w:val="single" w:sz="8" w:space="0" w:color="BCBEC0"/>
            </w:tcBorders>
          </w:tcPr>
          <w:p w14:paraId="79301F1E" w14:textId="01D8CD4D" w:rsidR="00425747" w:rsidRPr="00A15CDB" w:rsidRDefault="008217A1" w:rsidP="008217A1">
            <w:pPr>
              <w:pStyle w:val="TableText"/>
              <w:keepNext/>
            </w:pPr>
            <w:r>
              <w:t>Intermediate</w:t>
            </w:r>
          </w:p>
        </w:tc>
      </w:tr>
      <w:tr w:rsidR="00425747" w:rsidRPr="00C978B9" w14:paraId="0456C13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58B4A866" w14:textId="77777777" w:rsidR="00425747" w:rsidRPr="00C978B9" w:rsidRDefault="00425747" w:rsidP="00D80E67">
            <w:pPr>
              <w:keepNext/>
            </w:pPr>
          </w:p>
        </w:tc>
        <w:tc>
          <w:tcPr>
            <w:tcW w:w="4439" w:type="dxa"/>
            <w:tcBorders>
              <w:top w:val="single" w:sz="8" w:space="0" w:color="BCBEC0"/>
            </w:tcBorders>
          </w:tcPr>
          <w:p w14:paraId="25AD25BA" w14:textId="77777777" w:rsidR="00425747" w:rsidRPr="000334B7" w:rsidRDefault="00425747" w:rsidP="00D80E67">
            <w:pPr>
              <w:pStyle w:val="TableText"/>
              <w:keepNext/>
              <w:rPr>
                <w:b/>
                <w:sz w:val="24"/>
                <w:szCs w:val="24"/>
              </w:rPr>
            </w:pPr>
            <w:r w:rsidRPr="000334B7">
              <w:rPr>
                <w:b/>
              </w:rPr>
              <w:t>Act with Integrity</w:t>
            </w:r>
          </w:p>
        </w:tc>
        <w:tc>
          <w:tcPr>
            <w:tcW w:w="2790" w:type="dxa"/>
            <w:tcBorders>
              <w:top w:val="single" w:sz="8" w:space="0" w:color="BCBEC0"/>
            </w:tcBorders>
          </w:tcPr>
          <w:p w14:paraId="7E8D0DC9" w14:textId="70B86151" w:rsidR="00425747" w:rsidRPr="000334B7" w:rsidRDefault="00AD2B3F" w:rsidP="00D80E67">
            <w:pPr>
              <w:pStyle w:val="TableText"/>
              <w:keepNext/>
              <w:rPr>
                <w:b/>
              </w:rPr>
            </w:pPr>
            <w:r w:rsidRPr="000334B7">
              <w:rPr>
                <w:b/>
              </w:rPr>
              <w:t>Intermediate</w:t>
            </w:r>
          </w:p>
        </w:tc>
      </w:tr>
      <w:tr w:rsidR="00AD2B3F" w:rsidRPr="00C978B9" w14:paraId="24F77DF4"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0F3F5C16" w14:textId="77777777" w:rsidR="00AD2B3F" w:rsidRPr="00C978B9" w:rsidRDefault="00AD2B3F" w:rsidP="00AD2B3F">
            <w:pPr>
              <w:keepNext/>
            </w:pPr>
          </w:p>
        </w:tc>
        <w:tc>
          <w:tcPr>
            <w:tcW w:w="4439" w:type="dxa"/>
            <w:tcBorders>
              <w:top w:val="single" w:sz="8" w:space="0" w:color="BCBEC0"/>
            </w:tcBorders>
          </w:tcPr>
          <w:p w14:paraId="0CBC6A33" w14:textId="77777777" w:rsidR="00AD2B3F" w:rsidRPr="007C06FB" w:rsidRDefault="00AD2B3F" w:rsidP="00AD2B3F">
            <w:pPr>
              <w:pStyle w:val="TableText"/>
              <w:keepNext/>
              <w:rPr>
                <w:sz w:val="24"/>
                <w:szCs w:val="24"/>
              </w:rPr>
            </w:pPr>
            <w:r w:rsidRPr="007C06FB">
              <w:t>Demonstrate Accountability</w:t>
            </w:r>
          </w:p>
        </w:tc>
        <w:tc>
          <w:tcPr>
            <w:tcW w:w="2790" w:type="dxa"/>
            <w:tcBorders>
              <w:top w:val="single" w:sz="8" w:space="0" w:color="BCBEC0"/>
            </w:tcBorders>
          </w:tcPr>
          <w:p w14:paraId="3342CE77" w14:textId="6F364B32" w:rsidR="00AD2B3F" w:rsidRPr="007C06FB" w:rsidRDefault="00AD2B3F" w:rsidP="00AD2B3F">
            <w:pPr>
              <w:pStyle w:val="TableText"/>
              <w:keepNext/>
            </w:pPr>
            <w:r>
              <w:t>Intermediate</w:t>
            </w:r>
          </w:p>
        </w:tc>
      </w:tr>
      <w:tr w:rsidR="00AD2B3F" w:rsidRPr="00C978B9" w14:paraId="4A824457"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45A7C17F" w14:textId="77777777" w:rsidR="00AD2B3F" w:rsidRPr="00DC0B64" w:rsidRDefault="00AD2B3F" w:rsidP="00AD2B3F">
            <w:pPr>
              <w:keepNext/>
              <w:rPr>
                <w:b/>
              </w:rPr>
            </w:pPr>
            <w:r>
              <w:rPr>
                <w:noProof/>
                <w:lang w:eastAsia="en-AU"/>
              </w:rPr>
              <w:drawing>
                <wp:inline distT="0" distB="0" distL="0" distR="0" wp14:anchorId="5CE68D12" wp14:editId="13BEC408">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39" w:type="dxa"/>
            <w:tcBorders>
              <w:top w:val="single" w:sz="12" w:space="0" w:color="auto"/>
              <w:bottom w:val="single" w:sz="8" w:space="0" w:color="BCBEC0"/>
            </w:tcBorders>
          </w:tcPr>
          <w:p w14:paraId="4FB70665" w14:textId="77777777" w:rsidR="00AD2B3F" w:rsidRPr="000334B7" w:rsidRDefault="00AD2B3F" w:rsidP="00AD2B3F">
            <w:pPr>
              <w:pStyle w:val="TableText"/>
              <w:keepNext/>
              <w:rPr>
                <w:b/>
                <w:sz w:val="24"/>
                <w:szCs w:val="24"/>
              </w:rPr>
            </w:pPr>
            <w:r w:rsidRPr="000334B7">
              <w:rPr>
                <w:b/>
              </w:rPr>
              <w:t>Communicate and Engage</w:t>
            </w:r>
          </w:p>
        </w:tc>
        <w:tc>
          <w:tcPr>
            <w:tcW w:w="2790" w:type="dxa"/>
            <w:tcBorders>
              <w:top w:val="single" w:sz="12" w:space="0" w:color="auto"/>
              <w:bottom w:val="single" w:sz="8" w:space="0" w:color="BCBEC0"/>
            </w:tcBorders>
          </w:tcPr>
          <w:p w14:paraId="3B7D21B1" w14:textId="2AE4B121" w:rsidR="00AD2B3F" w:rsidRPr="000334B7" w:rsidRDefault="00AD2B3F" w:rsidP="00AD2B3F">
            <w:pPr>
              <w:pStyle w:val="TableText"/>
              <w:keepNext/>
              <w:rPr>
                <w:b/>
              </w:rPr>
            </w:pPr>
            <w:r w:rsidRPr="000334B7">
              <w:rPr>
                <w:b/>
              </w:rPr>
              <w:t>Intermediate</w:t>
            </w:r>
          </w:p>
        </w:tc>
      </w:tr>
      <w:tr w:rsidR="00AD2B3F" w:rsidRPr="00C978B9" w14:paraId="6CC574F4"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02848A90" w14:textId="77777777" w:rsidR="00AD2B3F" w:rsidRPr="00C978B9" w:rsidRDefault="00AD2B3F" w:rsidP="00AD2B3F">
            <w:pPr>
              <w:keepNext/>
            </w:pPr>
          </w:p>
        </w:tc>
        <w:tc>
          <w:tcPr>
            <w:tcW w:w="4439" w:type="dxa"/>
            <w:tcBorders>
              <w:top w:val="single" w:sz="8" w:space="0" w:color="BCBEC0"/>
            </w:tcBorders>
          </w:tcPr>
          <w:p w14:paraId="31C45855" w14:textId="7F49CB6B" w:rsidR="00AD2B3F" w:rsidRPr="00CE5056" w:rsidRDefault="00AD2B3F" w:rsidP="00AD2B3F">
            <w:pPr>
              <w:pStyle w:val="TableText"/>
              <w:keepNext/>
              <w:rPr>
                <w:b/>
                <w:sz w:val="24"/>
                <w:szCs w:val="24"/>
              </w:rPr>
            </w:pPr>
            <w:r w:rsidRPr="00C4627A">
              <w:rPr>
                <w:b/>
              </w:rPr>
              <w:t>Community and Customer Focus</w:t>
            </w:r>
          </w:p>
        </w:tc>
        <w:tc>
          <w:tcPr>
            <w:tcW w:w="2790" w:type="dxa"/>
            <w:tcBorders>
              <w:top w:val="single" w:sz="8" w:space="0" w:color="BCBEC0"/>
            </w:tcBorders>
          </w:tcPr>
          <w:p w14:paraId="547D7A30" w14:textId="6F5FF42A" w:rsidR="00AD2B3F" w:rsidRPr="00AD2B3F" w:rsidRDefault="00AD2B3F" w:rsidP="00AD2B3F">
            <w:pPr>
              <w:pStyle w:val="TableText"/>
              <w:keepNext/>
              <w:rPr>
                <w:b/>
              </w:rPr>
            </w:pPr>
            <w:r w:rsidRPr="00AD2B3F">
              <w:rPr>
                <w:b/>
              </w:rPr>
              <w:t>Adept</w:t>
            </w:r>
          </w:p>
        </w:tc>
      </w:tr>
      <w:tr w:rsidR="00AD2B3F" w:rsidRPr="00C978B9" w14:paraId="557692EB"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6E249598" w14:textId="77777777" w:rsidR="00AD2B3F" w:rsidRPr="00C978B9" w:rsidRDefault="00AD2B3F" w:rsidP="00AD2B3F">
            <w:pPr>
              <w:keepNext/>
            </w:pPr>
          </w:p>
        </w:tc>
        <w:tc>
          <w:tcPr>
            <w:tcW w:w="4439" w:type="dxa"/>
            <w:tcBorders>
              <w:top w:val="single" w:sz="8" w:space="0" w:color="BCBEC0"/>
            </w:tcBorders>
          </w:tcPr>
          <w:p w14:paraId="0C8BEA39" w14:textId="77777777" w:rsidR="00AD2B3F" w:rsidRPr="00BA43E0" w:rsidRDefault="00AD2B3F" w:rsidP="00AD2B3F">
            <w:pPr>
              <w:pStyle w:val="TableText"/>
              <w:keepNext/>
              <w:rPr>
                <w:sz w:val="24"/>
                <w:szCs w:val="24"/>
              </w:rPr>
            </w:pPr>
            <w:r w:rsidRPr="00BA43E0">
              <w:t>Work Collaboratively</w:t>
            </w:r>
          </w:p>
        </w:tc>
        <w:tc>
          <w:tcPr>
            <w:tcW w:w="2790" w:type="dxa"/>
            <w:tcBorders>
              <w:top w:val="single" w:sz="8" w:space="0" w:color="BCBEC0"/>
            </w:tcBorders>
          </w:tcPr>
          <w:p w14:paraId="6EA545E0" w14:textId="20DA1F33" w:rsidR="00AD2B3F" w:rsidRPr="00BA43E0" w:rsidRDefault="00AD2B3F" w:rsidP="00AD2B3F">
            <w:pPr>
              <w:pStyle w:val="TableText"/>
              <w:keepNext/>
            </w:pPr>
            <w:r w:rsidRPr="00BA43E0">
              <w:t>Intermediate</w:t>
            </w:r>
          </w:p>
        </w:tc>
      </w:tr>
      <w:tr w:rsidR="00AD2B3F" w:rsidRPr="00C978B9" w14:paraId="3B6161D0"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40EF149E" w14:textId="77777777" w:rsidR="00AD2B3F" w:rsidRPr="00C978B9" w:rsidRDefault="00AD2B3F" w:rsidP="00AD2B3F">
            <w:pPr>
              <w:keepNext/>
            </w:pPr>
          </w:p>
        </w:tc>
        <w:tc>
          <w:tcPr>
            <w:tcW w:w="4439" w:type="dxa"/>
            <w:tcBorders>
              <w:bottom w:val="single" w:sz="4" w:space="0" w:color="BCBEC0"/>
            </w:tcBorders>
          </w:tcPr>
          <w:p w14:paraId="2EF6C3AC" w14:textId="77777777" w:rsidR="00AD2B3F" w:rsidRPr="00E146AE" w:rsidRDefault="00AD2B3F" w:rsidP="00AD2B3F">
            <w:pPr>
              <w:pStyle w:val="TableText"/>
              <w:keepNext/>
              <w:rPr>
                <w:sz w:val="24"/>
                <w:szCs w:val="24"/>
              </w:rPr>
            </w:pPr>
            <w:r w:rsidRPr="00E146AE">
              <w:t>Influence and Negotiate</w:t>
            </w:r>
          </w:p>
        </w:tc>
        <w:tc>
          <w:tcPr>
            <w:tcW w:w="2790" w:type="dxa"/>
            <w:tcBorders>
              <w:bottom w:val="single" w:sz="4" w:space="0" w:color="BCBEC0"/>
            </w:tcBorders>
          </w:tcPr>
          <w:p w14:paraId="4BBD61E5" w14:textId="13B4E003" w:rsidR="00AD2B3F" w:rsidRPr="00E146AE" w:rsidRDefault="00BA43E0" w:rsidP="00AD2B3F">
            <w:pPr>
              <w:pStyle w:val="TableText"/>
              <w:keepNext/>
            </w:pPr>
            <w:r>
              <w:t>Foundational</w:t>
            </w:r>
          </w:p>
        </w:tc>
      </w:tr>
      <w:tr w:rsidR="00AD2B3F" w:rsidRPr="00C978B9" w14:paraId="2337732E"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21F23750" w14:textId="77777777" w:rsidR="00AD2B3F" w:rsidRDefault="00AD2B3F" w:rsidP="00AD2B3F">
            <w:pPr>
              <w:keepNext/>
              <w:jc w:val="both"/>
              <w:rPr>
                <w:b/>
                <w:sz w:val="18"/>
                <w:szCs w:val="18"/>
              </w:rPr>
            </w:pPr>
            <w:r>
              <w:rPr>
                <w:noProof/>
                <w:lang w:eastAsia="en-AU"/>
              </w:rPr>
              <w:drawing>
                <wp:inline distT="0" distB="0" distL="0" distR="0" wp14:anchorId="18732E3E" wp14:editId="15C1B101">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6440CE3A" w14:textId="77777777" w:rsidR="00AD2B3F" w:rsidRPr="00DC0B64" w:rsidRDefault="00AD2B3F" w:rsidP="00AD2B3F">
            <w:pPr>
              <w:keepNext/>
              <w:jc w:val="both"/>
              <w:rPr>
                <w:b/>
              </w:rPr>
            </w:pPr>
            <w:r>
              <w:rPr>
                <w:b/>
                <w:sz w:val="18"/>
                <w:szCs w:val="18"/>
              </w:rPr>
              <w:t>Results</w:t>
            </w:r>
          </w:p>
        </w:tc>
        <w:tc>
          <w:tcPr>
            <w:tcW w:w="4439" w:type="dxa"/>
            <w:tcBorders>
              <w:top w:val="single" w:sz="12" w:space="0" w:color="auto"/>
              <w:bottom w:val="single" w:sz="8" w:space="0" w:color="BCBEC0"/>
            </w:tcBorders>
          </w:tcPr>
          <w:p w14:paraId="253482EE" w14:textId="77777777" w:rsidR="00AD2B3F" w:rsidRPr="000334B7" w:rsidRDefault="00AD2B3F" w:rsidP="00AD2B3F">
            <w:pPr>
              <w:pStyle w:val="TableText"/>
              <w:keepNext/>
              <w:rPr>
                <w:sz w:val="24"/>
                <w:szCs w:val="24"/>
              </w:rPr>
            </w:pPr>
            <w:r w:rsidRPr="000334B7">
              <w:t>Plan and Prioritise</w:t>
            </w:r>
          </w:p>
        </w:tc>
        <w:tc>
          <w:tcPr>
            <w:tcW w:w="2790" w:type="dxa"/>
            <w:tcBorders>
              <w:top w:val="single" w:sz="12" w:space="0" w:color="auto"/>
              <w:bottom w:val="single" w:sz="8" w:space="0" w:color="BCBEC0"/>
            </w:tcBorders>
          </w:tcPr>
          <w:p w14:paraId="6A8FA19A" w14:textId="068E8592" w:rsidR="00AD2B3F" w:rsidRPr="000334B7" w:rsidRDefault="00AD2B3F" w:rsidP="00AD2B3F">
            <w:pPr>
              <w:pStyle w:val="TableText"/>
              <w:keepNext/>
            </w:pPr>
            <w:r w:rsidRPr="000334B7">
              <w:t>Intermediate</w:t>
            </w:r>
          </w:p>
        </w:tc>
      </w:tr>
      <w:tr w:rsidR="00AD2B3F" w:rsidRPr="00C978B9" w14:paraId="28879520"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214A6436" w14:textId="77777777" w:rsidR="00AD2B3F" w:rsidRPr="00C978B9" w:rsidRDefault="00AD2B3F" w:rsidP="00AD2B3F">
            <w:pPr>
              <w:keepNext/>
            </w:pPr>
          </w:p>
        </w:tc>
        <w:tc>
          <w:tcPr>
            <w:tcW w:w="4439" w:type="dxa"/>
            <w:tcBorders>
              <w:top w:val="single" w:sz="8" w:space="0" w:color="BCBEC0"/>
            </w:tcBorders>
          </w:tcPr>
          <w:p w14:paraId="3DF31D72" w14:textId="77777777" w:rsidR="00AD2B3F" w:rsidRPr="00BA43E0" w:rsidRDefault="00AD2B3F" w:rsidP="00AD2B3F">
            <w:pPr>
              <w:pStyle w:val="TableText"/>
              <w:keepNext/>
              <w:rPr>
                <w:b/>
                <w:sz w:val="24"/>
                <w:szCs w:val="24"/>
              </w:rPr>
            </w:pPr>
            <w:r w:rsidRPr="00BA43E0">
              <w:rPr>
                <w:b/>
              </w:rPr>
              <w:t xml:space="preserve">Think and Solve Problems </w:t>
            </w:r>
          </w:p>
        </w:tc>
        <w:tc>
          <w:tcPr>
            <w:tcW w:w="2790" w:type="dxa"/>
            <w:tcBorders>
              <w:top w:val="single" w:sz="8" w:space="0" w:color="BCBEC0"/>
            </w:tcBorders>
          </w:tcPr>
          <w:p w14:paraId="32BD703D" w14:textId="2FABC272" w:rsidR="00AD2B3F" w:rsidRPr="00BA43E0" w:rsidRDefault="00AD2B3F" w:rsidP="00AD2B3F">
            <w:pPr>
              <w:pStyle w:val="TableText"/>
              <w:keepNext/>
              <w:rPr>
                <w:b/>
              </w:rPr>
            </w:pPr>
            <w:r w:rsidRPr="00BA43E0">
              <w:rPr>
                <w:b/>
              </w:rPr>
              <w:t>Intermediate</w:t>
            </w:r>
          </w:p>
        </w:tc>
      </w:tr>
      <w:tr w:rsidR="00AD2B3F" w:rsidRPr="00C978B9" w14:paraId="7586EE0F"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7470B29B" w14:textId="77777777" w:rsidR="00AD2B3F" w:rsidRPr="00C978B9" w:rsidRDefault="00AD2B3F" w:rsidP="00AD2B3F">
            <w:pPr>
              <w:keepNext/>
            </w:pPr>
          </w:p>
        </w:tc>
        <w:tc>
          <w:tcPr>
            <w:tcW w:w="4439" w:type="dxa"/>
            <w:tcBorders>
              <w:bottom w:val="single" w:sz="4" w:space="0" w:color="BCBEC0"/>
            </w:tcBorders>
          </w:tcPr>
          <w:p w14:paraId="2280D72D" w14:textId="77777777" w:rsidR="00AD2B3F" w:rsidRPr="00E146AE" w:rsidRDefault="00AD2B3F" w:rsidP="00AD2B3F">
            <w:pPr>
              <w:pStyle w:val="TableText"/>
              <w:keepNext/>
              <w:rPr>
                <w:sz w:val="24"/>
                <w:szCs w:val="24"/>
              </w:rPr>
            </w:pPr>
            <w:r w:rsidRPr="00E146AE">
              <w:t>Create and Innovate</w:t>
            </w:r>
          </w:p>
        </w:tc>
        <w:tc>
          <w:tcPr>
            <w:tcW w:w="2790" w:type="dxa"/>
            <w:tcBorders>
              <w:bottom w:val="single" w:sz="4" w:space="0" w:color="BCBEC0"/>
            </w:tcBorders>
          </w:tcPr>
          <w:p w14:paraId="43CB9E5B" w14:textId="73E85B42" w:rsidR="00AD2B3F" w:rsidRPr="00E146AE" w:rsidRDefault="00BA43E0" w:rsidP="00AD2B3F">
            <w:pPr>
              <w:pStyle w:val="TableText"/>
              <w:keepNext/>
            </w:pPr>
            <w:r>
              <w:t>Foundational</w:t>
            </w:r>
          </w:p>
        </w:tc>
      </w:tr>
      <w:tr w:rsidR="00AD2B3F" w:rsidRPr="00C978B9" w14:paraId="0261DA5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5467AFF5" w14:textId="77777777" w:rsidR="00AD2B3F" w:rsidRPr="00C978B9" w:rsidRDefault="00AD2B3F" w:rsidP="00AD2B3F">
            <w:pPr>
              <w:keepNext/>
            </w:pPr>
          </w:p>
        </w:tc>
        <w:tc>
          <w:tcPr>
            <w:tcW w:w="4439" w:type="dxa"/>
            <w:tcBorders>
              <w:top w:val="single" w:sz="8" w:space="0" w:color="BCBEC0"/>
            </w:tcBorders>
          </w:tcPr>
          <w:p w14:paraId="28D6233F" w14:textId="77777777" w:rsidR="00AD2B3F" w:rsidRPr="00CC4C5A" w:rsidRDefault="00AD2B3F" w:rsidP="00AD2B3F">
            <w:pPr>
              <w:pStyle w:val="TableText"/>
              <w:keepNext/>
              <w:rPr>
                <w:sz w:val="24"/>
                <w:szCs w:val="24"/>
              </w:rPr>
            </w:pPr>
            <w:r w:rsidRPr="00CC4C5A">
              <w:t>Deliver Results</w:t>
            </w:r>
          </w:p>
        </w:tc>
        <w:tc>
          <w:tcPr>
            <w:tcW w:w="2790" w:type="dxa"/>
            <w:tcBorders>
              <w:top w:val="single" w:sz="8" w:space="0" w:color="BCBEC0"/>
            </w:tcBorders>
          </w:tcPr>
          <w:p w14:paraId="3A12E82D" w14:textId="3FCB692F" w:rsidR="00AD2B3F" w:rsidRPr="00CC4C5A" w:rsidRDefault="00AD2B3F" w:rsidP="00AD2B3F">
            <w:pPr>
              <w:pStyle w:val="TableText"/>
              <w:keepNext/>
            </w:pPr>
            <w:r>
              <w:t>Intermediate</w:t>
            </w:r>
          </w:p>
        </w:tc>
      </w:tr>
      <w:tr w:rsidR="00AD2B3F" w:rsidRPr="00C978B9" w14:paraId="0FE07F67"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7F022D31" w14:textId="77777777" w:rsidR="00AD2B3F" w:rsidRPr="00C978B9" w:rsidRDefault="00AD2B3F" w:rsidP="00AD2B3F">
            <w:pPr>
              <w:keepNext/>
            </w:pPr>
            <w:r>
              <w:rPr>
                <w:noProof/>
                <w:lang w:eastAsia="en-AU"/>
              </w:rPr>
              <w:drawing>
                <wp:inline distT="0" distB="0" distL="0" distR="0" wp14:anchorId="42B03AD8" wp14:editId="7DCE553E">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39" w:type="dxa"/>
            <w:tcBorders>
              <w:top w:val="single" w:sz="12" w:space="0" w:color="auto"/>
              <w:bottom w:val="single" w:sz="8" w:space="0" w:color="BCBEC0"/>
            </w:tcBorders>
          </w:tcPr>
          <w:p w14:paraId="118CBF18" w14:textId="77777777" w:rsidR="00AD2B3F" w:rsidRPr="000334B7" w:rsidRDefault="00AD2B3F" w:rsidP="00AD2B3F">
            <w:pPr>
              <w:pStyle w:val="TableText"/>
              <w:keepNext/>
              <w:rPr>
                <w:sz w:val="24"/>
                <w:szCs w:val="24"/>
              </w:rPr>
            </w:pPr>
            <w:r w:rsidRPr="000334B7">
              <w:t>Finance</w:t>
            </w:r>
          </w:p>
        </w:tc>
        <w:tc>
          <w:tcPr>
            <w:tcW w:w="2790" w:type="dxa"/>
            <w:tcBorders>
              <w:top w:val="single" w:sz="12" w:space="0" w:color="auto"/>
              <w:bottom w:val="single" w:sz="8" w:space="0" w:color="BCBEC0"/>
            </w:tcBorders>
          </w:tcPr>
          <w:p w14:paraId="5F8BC3B9" w14:textId="53A18E9C" w:rsidR="00AD2B3F" w:rsidRPr="000334B7" w:rsidRDefault="00BA43E0" w:rsidP="00BA43E0">
            <w:pPr>
              <w:pStyle w:val="TableText"/>
              <w:keepNext/>
            </w:pPr>
            <w:r>
              <w:t>Foundational</w:t>
            </w:r>
          </w:p>
        </w:tc>
      </w:tr>
      <w:tr w:rsidR="00AD2B3F" w:rsidRPr="00C978B9" w14:paraId="29C57AA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32845B2D" w14:textId="77777777" w:rsidR="00AD2B3F" w:rsidRPr="00C978B9" w:rsidRDefault="00AD2B3F" w:rsidP="00AD2B3F">
            <w:pPr>
              <w:keepNext/>
            </w:pPr>
          </w:p>
        </w:tc>
        <w:tc>
          <w:tcPr>
            <w:tcW w:w="4439" w:type="dxa"/>
            <w:tcBorders>
              <w:top w:val="single" w:sz="8" w:space="0" w:color="BCBEC0"/>
            </w:tcBorders>
          </w:tcPr>
          <w:p w14:paraId="1AAA8F23" w14:textId="77777777" w:rsidR="00AD2B3F" w:rsidRPr="00C978B9" w:rsidRDefault="00AD2B3F" w:rsidP="00AD2B3F">
            <w:pPr>
              <w:pStyle w:val="TableText"/>
              <w:keepNext/>
              <w:rPr>
                <w:sz w:val="24"/>
                <w:szCs w:val="24"/>
              </w:rPr>
            </w:pPr>
            <w:r>
              <w:t>Assets and Tools</w:t>
            </w:r>
          </w:p>
        </w:tc>
        <w:tc>
          <w:tcPr>
            <w:tcW w:w="2790" w:type="dxa"/>
            <w:tcBorders>
              <w:top w:val="single" w:sz="8" w:space="0" w:color="BCBEC0"/>
            </w:tcBorders>
          </w:tcPr>
          <w:p w14:paraId="1C41F7A0" w14:textId="7A611591" w:rsidR="00AD2B3F" w:rsidRPr="00A15CDB" w:rsidRDefault="00BA43E0" w:rsidP="00AD2B3F">
            <w:pPr>
              <w:pStyle w:val="TableText"/>
              <w:keepNext/>
            </w:pPr>
            <w:r>
              <w:t>Foundational</w:t>
            </w:r>
          </w:p>
        </w:tc>
      </w:tr>
      <w:tr w:rsidR="00AD2B3F" w:rsidRPr="00C978B9" w14:paraId="353F6A5A"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17FF6E74" w14:textId="77777777" w:rsidR="00AD2B3F" w:rsidRPr="00C978B9" w:rsidRDefault="00AD2B3F" w:rsidP="00AD2B3F">
            <w:pPr>
              <w:keepNext/>
            </w:pPr>
          </w:p>
        </w:tc>
        <w:tc>
          <w:tcPr>
            <w:tcW w:w="4439" w:type="dxa"/>
            <w:tcBorders>
              <w:top w:val="single" w:sz="8" w:space="0" w:color="BCBEC0"/>
            </w:tcBorders>
          </w:tcPr>
          <w:p w14:paraId="3D3D0F70" w14:textId="77777777" w:rsidR="00AD2B3F" w:rsidRPr="00C978B9" w:rsidRDefault="00AD2B3F" w:rsidP="00AD2B3F">
            <w:pPr>
              <w:pStyle w:val="TableText"/>
              <w:keepNext/>
              <w:rPr>
                <w:sz w:val="24"/>
                <w:szCs w:val="24"/>
              </w:rPr>
            </w:pPr>
            <w:r>
              <w:t>Technology and Information</w:t>
            </w:r>
          </w:p>
        </w:tc>
        <w:tc>
          <w:tcPr>
            <w:tcW w:w="2790" w:type="dxa"/>
            <w:tcBorders>
              <w:top w:val="single" w:sz="8" w:space="0" w:color="BCBEC0"/>
            </w:tcBorders>
          </w:tcPr>
          <w:p w14:paraId="6A861779" w14:textId="2D15DC33" w:rsidR="00AD2B3F" w:rsidRPr="00A15CDB" w:rsidRDefault="00AD2B3F" w:rsidP="00AD2B3F">
            <w:pPr>
              <w:pStyle w:val="TableText"/>
              <w:keepNext/>
            </w:pPr>
            <w:r>
              <w:t>Intermediate</w:t>
            </w:r>
          </w:p>
        </w:tc>
      </w:tr>
      <w:tr w:rsidR="00AD2B3F" w:rsidRPr="00C978B9" w14:paraId="3671D28E"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5CDFE007" w14:textId="77777777" w:rsidR="00AD2B3F" w:rsidRPr="00C978B9" w:rsidRDefault="00AD2B3F" w:rsidP="00AD2B3F">
            <w:pPr>
              <w:keepNext/>
            </w:pPr>
          </w:p>
        </w:tc>
        <w:tc>
          <w:tcPr>
            <w:tcW w:w="4439" w:type="dxa"/>
            <w:tcBorders>
              <w:bottom w:val="single" w:sz="4" w:space="0" w:color="BCBEC0"/>
            </w:tcBorders>
          </w:tcPr>
          <w:p w14:paraId="13A24483" w14:textId="77777777" w:rsidR="00AD2B3F" w:rsidRPr="00971B59" w:rsidRDefault="00AD2B3F" w:rsidP="00AD2B3F">
            <w:pPr>
              <w:pStyle w:val="TableText"/>
              <w:keepNext/>
              <w:rPr>
                <w:sz w:val="24"/>
                <w:szCs w:val="24"/>
              </w:rPr>
            </w:pPr>
            <w:r w:rsidRPr="00971B59">
              <w:t>Procurement and Contracts</w:t>
            </w:r>
          </w:p>
        </w:tc>
        <w:tc>
          <w:tcPr>
            <w:tcW w:w="2790" w:type="dxa"/>
            <w:tcBorders>
              <w:bottom w:val="single" w:sz="4" w:space="0" w:color="BCBEC0"/>
            </w:tcBorders>
          </w:tcPr>
          <w:p w14:paraId="532B1281" w14:textId="5D956DF4" w:rsidR="00AD2B3F" w:rsidRPr="00971B59" w:rsidRDefault="00BA43E0" w:rsidP="00AD2B3F">
            <w:pPr>
              <w:pStyle w:val="TableText"/>
              <w:keepNext/>
            </w:pPr>
            <w:r>
              <w:t>Foundational</w:t>
            </w:r>
          </w:p>
        </w:tc>
      </w:tr>
    </w:tbl>
    <w:p w14:paraId="2035ADF2" w14:textId="77777777"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4BAB6F6D"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245133">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6407BF66"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1"/>
                  <w14:checkedState w14:val="2612" w14:font="MS Gothic"/>
                  <w14:uncheckedState w14:val="2610" w14:font="MS Gothic"/>
                </w14:checkbox>
              </w:sdtPr>
              <w:sdtEndPr/>
              <w:sdtContent>
                <w:r w:rsidR="00245133">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FCBD9" w14:textId="77777777" w:rsidR="00A94114" w:rsidRDefault="00A94114">
      <w:r>
        <w:separator/>
      </w:r>
    </w:p>
  </w:endnote>
  <w:endnote w:type="continuationSeparator" w:id="0">
    <w:p w14:paraId="66B62002" w14:textId="77777777" w:rsidR="00A94114" w:rsidRDefault="00A9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40E65476"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Position description –</w:t>
        </w:r>
        <w:r w:rsidR="000334B7">
          <w:rPr>
            <w:rFonts w:ascii="Arial" w:hAnsi="Arial"/>
            <w:sz w:val="18"/>
            <w:szCs w:val="18"/>
            <w:lang w:eastAsia="en-US"/>
          </w:rPr>
          <w:t xml:space="preserve"> Revenue</w:t>
        </w:r>
        <w:r w:rsidR="00C41293">
          <w:rPr>
            <w:rFonts w:ascii="Arial" w:hAnsi="Arial"/>
            <w:sz w:val="18"/>
            <w:szCs w:val="18"/>
            <w:lang w:eastAsia="en-US"/>
          </w:rPr>
          <w:t xml:space="preserve"> Officer</w:t>
        </w:r>
        <w:r w:rsidR="00342319">
          <w:rPr>
            <w:rFonts w:ascii="Arial" w:hAnsi="Arial"/>
            <w:sz w:val="18"/>
            <w:szCs w:val="18"/>
            <w:lang w:eastAsia="en-US"/>
          </w:rPr>
          <w:t xml:space="preserve"> – approved </w:t>
        </w:r>
        <w:r w:rsidR="00286252">
          <w:rPr>
            <w:rFonts w:ascii="Arial" w:hAnsi="Arial"/>
            <w:sz w:val="18"/>
            <w:szCs w:val="18"/>
            <w:lang w:eastAsia="en-US"/>
          </w:rPr>
          <w:t>27/08/21</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EB1594">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EB1594">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7EF3EEAB"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334B7">
          <w:rPr>
            <w:rFonts w:ascii="Arial" w:hAnsi="Arial"/>
            <w:sz w:val="18"/>
            <w:szCs w:val="18"/>
            <w:lang w:eastAsia="en-US"/>
          </w:rPr>
          <w:t>Revenue</w:t>
        </w:r>
        <w:r w:rsidR="00C41293">
          <w:rPr>
            <w:rFonts w:ascii="Arial" w:hAnsi="Arial"/>
            <w:sz w:val="18"/>
            <w:szCs w:val="18"/>
            <w:lang w:eastAsia="en-US"/>
          </w:rPr>
          <w:t xml:space="preserve"> Officer</w:t>
        </w:r>
        <w:r w:rsidR="00342319">
          <w:rPr>
            <w:rFonts w:ascii="Arial" w:hAnsi="Arial"/>
            <w:sz w:val="18"/>
            <w:szCs w:val="18"/>
            <w:lang w:eastAsia="en-US"/>
          </w:rPr>
          <w:t xml:space="preserve"> – approved </w:t>
        </w:r>
        <w:r w:rsidR="00286252">
          <w:rPr>
            <w:rFonts w:ascii="Arial" w:hAnsi="Arial"/>
            <w:sz w:val="18"/>
            <w:szCs w:val="18"/>
            <w:lang w:eastAsia="en-US"/>
          </w:rPr>
          <w:t>27/08/21</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EB1594">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EB1594">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0562" w14:textId="77777777" w:rsidR="00A94114" w:rsidRDefault="00A94114">
      <w:r>
        <w:separator/>
      </w:r>
    </w:p>
  </w:footnote>
  <w:footnote w:type="continuationSeparator" w:id="0">
    <w:p w14:paraId="618CDA5A" w14:textId="77777777" w:rsidR="00A94114" w:rsidRDefault="00A9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B3027"/>
    <w:multiLevelType w:val="hybridMultilevel"/>
    <w:tmpl w:val="B0B461DA"/>
    <w:lvl w:ilvl="0" w:tplc="625E0ADE">
      <w:start w:val="1"/>
      <w:numFmt w:val="decimal"/>
      <w:lvlText w:val="%1."/>
      <w:lvlJc w:val="left"/>
      <w:pPr>
        <w:ind w:left="720" w:hanging="360"/>
      </w:pPr>
      <w:rPr>
        <w:rFont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51667CC0"/>
    <w:multiLevelType w:val="hybridMultilevel"/>
    <w:tmpl w:val="52AC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0"/>
  </w:num>
  <w:num w:numId="2">
    <w:abstractNumId w:val="8"/>
  </w:num>
  <w:num w:numId="3">
    <w:abstractNumId w:val="9"/>
  </w:num>
  <w:num w:numId="4">
    <w:abstractNumId w:val="1"/>
  </w:num>
  <w:num w:numId="5">
    <w:abstractNumId w:val="5"/>
  </w:num>
  <w:num w:numId="6">
    <w:abstractNumId w:val="7"/>
  </w:num>
  <w:num w:numId="7">
    <w:abstractNumId w:val="2"/>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7E4"/>
    <w:rsid w:val="00013D3F"/>
    <w:rsid w:val="000141CC"/>
    <w:rsid w:val="00014E87"/>
    <w:rsid w:val="000167D4"/>
    <w:rsid w:val="00016FD9"/>
    <w:rsid w:val="00020864"/>
    <w:rsid w:val="0002275C"/>
    <w:rsid w:val="0002564F"/>
    <w:rsid w:val="00026570"/>
    <w:rsid w:val="00031789"/>
    <w:rsid w:val="00031901"/>
    <w:rsid w:val="00032610"/>
    <w:rsid w:val="000334B7"/>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2752F"/>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5591"/>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1A32"/>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5133"/>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6252"/>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46C8B"/>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044D3"/>
    <w:rsid w:val="0041778B"/>
    <w:rsid w:val="00417B29"/>
    <w:rsid w:val="00420276"/>
    <w:rsid w:val="00421B49"/>
    <w:rsid w:val="00422703"/>
    <w:rsid w:val="00423D8E"/>
    <w:rsid w:val="00424E85"/>
    <w:rsid w:val="004253A4"/>
    <w:rsid w:val="00425747"/>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77556"/>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D5562"/>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158E1"/>
    <w:rsid w:val="00620C1A"/>
    <w:rsid w:val="00622BDB"/>
    <w:rsid w:val="006315AE"/>
    <w:rsid w:val="00633B28"/>
    <w:rsid w:val="00635F82"/>
    <w:rsid w:val="006423F4"/>
    <w:rsid w:val="006438F8"/>
    <w:rsid w:val="00646B92"/>
    <w:rsid w:val="00647584"/>
    <w:rsid w:val="00654EB5"/>
    <w:rsid w:val="00655043"/>
    <w:rsid w:val="006565EA"/>
    <w:rsid w:val="00656836"/>
    <w:rsid w:val="00657E16"/>
    <w:rsid w:val="00670828"/>
    <w:rsid w:val="006713CE"/>
    <w:rsid w:val="00673EB4"/>
    <w:rsid w:val="00674D54"/>
    <w:rsid w:val="00674DB2"/>
    <w:rsid w:val="00675910"/>
    <w:rsid w:val="00676E04"/>
    <w:rsid w:val="00677280"/>
    <w:rsid w:val="0068200F"/>
    <w:rsid w:val="00683FCB"/>
    <w:rsid w:val="00684060"/>
    <w:rsid w:val="006907CD"/>
    <w:rsid w:val="00694496"/>
    <w:rsid w:val="00694EB2"/>
    <w:rsid w:val="00695721"/>
    <w:rsid w:val="006A04DF"/>
    <w:rsid w:val="006A1297"/>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2C49"/>
    <w:rsid w:val="006D6E1C"/>
    <w:rsid w:val="006D7670"/>
    <w:rsid w:val="006E0A81"/>
    <w:rsid w:val="006E14AA"/>
    <w:rsid w:val="006E34CD"/>
    <w:rsid w:val="006E3749"/>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11C6"/>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2557"/>
    <w:rsid w:val="00806FDC"/>
    <w:rsid w:val="00810517"/>
    <w:rsid w:val="0081099A"/>
    <w:rsid w:val="00810AA7"/>
    <w:rsid w:val="00811DE1"/>
    <w:rsid w:val="008165C1"/>
    <w:rsid w:val="00821023"/>
    <w:rsid w:val="008217A1"/>
    <w:rsid w:val="00821FAD"/>
    <w:rsid w:val="00822970"/>
    <w:rsid w:val="00823484"/>
    <w:rsid w:val="008241F6"/>
    <w:rsid w:val="0082566A"/>
    <w:rsid w:val="0082617A"/>
    <w:rsid w:val="0082668C"/>
    <w:rsid w:val="00840920"/>
    <w:rsid w:val="008414A5"/>
    <w:rsid w:val="00843001"/>
    <w:rsid w:val="00844198"/>
    <w:rsid w:val="00844BA2"/>
    <w:rsid w:val="00844F24"/>
    <w:rsid w:val="00845F50"/>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3D4"/>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5E02"/>
    <w:rsid w:val="00896646"/>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5E55"/>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97CAB"/>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98D"/>
    <w:rsid w:val="00A06F1A"/>
    <w:rsid w:val="00A0788E"/>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031"/>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4114"/>
    <w:rsid w:val="00A95984"/>
    <w:rsid w:val="00A966D2"/>
    <w:rsid w:val="00AA0087"/>
    <w:rsid w:val="00AA0DC1"/>
    <w:rsid w:val="00AA1327"/>
    <w:rsid w:val="00AA32D2"/>
    <w:rsid w:val="00AA4E2E"/>
    <w:rsid w:val="00AA6098"/>
    <w:rsid w:val="00AA65FD"/>
    <w:rsid w:val="00AA733D"/>
    <w:rsid w:val="00AB00D4"/>
    <w:rsid w:val="00AB013C"/>
    <w:rsid w:val="00AB1FA3"/>
    <w:rsid w:val="00AB1FAC"/>
    <w:rsid w:val="00AB2ED7"/>
    <w:rsid w:val="00AB3DE3"/>
    <w:rsid w:val="00AB754A"/>
    <w:rsid w:val="00AC233D"/>
    <w:rsid w:val="00AC2A6E"/>
    <w:rsid w:val="00AC33EC"/>
    <w:rsid w:val="00AC3694"/>
    <w:rsid w:val="00AC53D0"/>
    <w:rsid w:val="00AC5699"/>
    <w:rsid w:val="00AC7E87"/>
    <w:rsid w:val="00AD0A2F"/>
    <w:rsid w:val="00AD0A97"/>
    <w:rsid w:val="00AD257D"/>
    <w:rsid w:val="00AD2B3F"/>
    <w:rsid w:val="00AD5054"/>
    <w:rsid w:val="00AD7D87"/>
    <w:rsid w:val="00AE2090"/>
    <w:rsid w:val="00AE3FFA"/>
    <w:rsid w:val="00AE5B6D"/>
    <w:rsid w:val="00AE65A2"/>
    <w:rsid w:val="00AE724C"/>
    <w:rsid w:val="00AE764E"/>
    <w:rsid w:val="00AF0121"/>
    <w:rsid w:val="00AF098C"/>
    <w:rsid w:val="00AF10DE"/>
    <w:rsid w:val="00AF2552"/>
    <w:rsid w:val="00AF35BA"/>
    <w:rsid w:val="00AF7695"/>
    <w:rsid w:val="00B00B11"/>
    <w:rsid w:val="00B0197D"/>
    <w:rsid w:val="00B02045"/>
    <w:rsid w:val="00B0482E"/>
    <w:rsid w:val="00B20205"/>
    <w:rsid w:val="00B20A9E"/>
    <w:rsid w:val="00B220B0"/>
    <w:rsid w:val="00B233F2"/>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3371"/>
    <w:rsid w:val="00B6518F"/>
    <w:rsid w:val="00B66EF8"/>
    <w:rsid w:val="00B67F1F"/>
    <w:rsid w:val="00B70AA3"/>
    <w:rsid w:val="00B7137F"/>
    <w:rsid w:val="00B71A8C"/>
    <w:rsid w:val="00B72DCB"/>
    <w:rsid w:val="00B7382B"/>
    <w:rsid w:val="00B748E6"/>
    <w:rsid w:val="00B74999"/>
    <w:rsid w:val="00B8139C"/>
    <w:rsid w:val="00B827F8"/>
    <w:rsid w:val="00B82C72"/>
    <w:rsid w:val="00B8566A"/>
    <w:rsid w:val="00B86719"/>
    <w:rsid w:val="00B86D97"/>
    <w:rsid w:val="00B92B16"/>
    <w:rsid w:val="00B944C7"/>
    <w:rsid w:val="00B978D6"/>
    <w:rsid w:val="00BA06CE"/>
    <w:rsid w:val="00BA0C85"/>
    <w:rsid w:val="00BA43E0"/>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20F1"/>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293"/>
    <w:rsid w:val="00C41CB8"/>
    <w:rsid w:val="00C42275"/>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64EB"/>
    <w:rsid w:val="00C87BAE"/>
    <w:rsid w:val="00C87E7A"/>
    <w:rsid w:val="00C92553"/>
    <w:rsid w:val="00C93E39"/>
    <w:rsid w:val="00C972DE"/>
    <w:rsid w:val="00C974F4"/>
    <w:rsid w:val="00CA223A"/>
    <w:rsid w:val="00CA236E"/>
    <w:rsid w:val="00CA2C80"/>
    <w:rsid w:val="00CA2F7E"/>
    <w:rsid w:val="00CA7F57"/>
    <w:rsid w:val="00CC1F4E"/>
    <w:rsid w:val="00CC4C5A"/>
    <w:rsid w:val="00CC66BA"/>
    <w:rsid w:val="00CC6C68"/>
    <w:rsid w:val="00CD20D5"/>
    <w:rsid w:val="00CD43A3"/>
    <w:rsid w:val="00CD6246"/>
    <w:rsid w:val="00CE1A93"/>
    <w:rsid w:val="00CE2520"/>
    <w:rsid w:val="00CE2719"/>
    <w:rsid w:val="00CE2D35"/>
    <w:rsid w:val="00CE5056"/>
    <w:rsid w:val="00CF107A"/>
    <w:rsid w:val="00CF55EF"/>
    <w:rsid w:val="00CF6E2F"/>
    <w:rsid w:val="00CF7B81"/>
    <w:rsid w:val="00D01AC4"/>
    <w:rsid w:val="00D0208C"/>
    <w:rsid w:val="00D04D7F"/>
    <w:rsid w:val="00D06F66"/>
    <w:rsid w:val="00D10030"/>
    <w:rsid w:val="00D111F0"/>
    <w:rsid w:val="00D12133"/>
    <w:rsid w:val="00D12930"/>
    <w:rsid w:val="00D12A59"/>
    <w:rsid w:val="00D13EB0"/>
    <w:rsid w:val="00D14E95"/>
    <w:rsid w:val="00D1504C"/>
    <w:rsid w:val="00D1705D"/>
    <w:rsid w:val="00D20069"/>
    <w:rsid w:val="00D20AD2"/>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3247C"/>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3E73"/>
    <w:rsid w:val="00E947C6"/>
    <w:rsid w:val="00E96EBF"/>
    <w:rsid w:val="00EA12BE"/>
    <w:rsid w:val="00EA273F"/>
    <w:rsid w:val="00EA2D8E"/>
    <w:rsid w:val="00EA3BAE"/>
    <w:rsid w:val="00EA668A"/>
    <w:rsid w:val="00EB12B8"/>
    <w:rsid w:val="00EB14CE"/>
    <w:rsid w:val="00EB1594"/>
    <w:rsid w:val="00EB1C0A"/>
    <w:rsid w:val="00EB3B59"/>
    <w:rsid w:val="00EB7107"/>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1F13"/>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37FC9"/>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5B4F"/>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90EBB"/>
  <w15:docId w15:val="{DD2C7838-F147-47D1-ADE8-BB54DA04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0416B0B8C8948978C027967B9275C" ma:contentTypeVersion="4" ma:contentTypeDescription="Create a new document." ma:contentTypeScope="" ma:versionID="4901a662e7a7472eedc31e3375a5c2c3">
  <xsd:schema xmlns:xsd="http://www.w3.org/2001/XMLSchema" xmlns:xs="http://www.w3.org/2001/XMLSchema" xmlns:p="http://schemas.microsoft.com/office/2006/metadata/properties" xmlns:ns3="23288fc4-68ea-4bed-a2f6-ed6b28e10dd5" targetNamespace="http://schemas.microsoft.com/office/2006/metadata/properties" ma:root="true" ma:fieldsID="1725c178b1deac848fd768a08aa50647" ns3:_="">
    <xsd:import namespace="23288fc4-68ea-4bed-a2f6-ed6b28e10d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8fc4-68ea-4bed-a2f6-ed6b28e1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F6B6-807B-4CCD-BB30-A36EEFDB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8fc4-68ea-4bed-a2f6-ed6b28e10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23288fc4-68ea-4bed-a2f6-ed6b28e10dd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18F12884-6A31-48D6-93D8-249037DC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Corinne Matlawski</cp:lastModifiedBy>
  <cp:revision>5</cp:revision>
  <cp:lastPrinted>2021-09-13T06:09:00Z</cp:lastPrinted>
  <dcterms:created xsi:type="dcterms:W3CDTF">2021-06-08T01:15:00Z</dcterms:created>
  <dcterms:modified xsi:type="dcterms:W3CDTF">2021-09-13T06:09:00Z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0x010100B880416B0B8C8948978C027967B9275C</vt:lpwstr>
  </property>
</Properties>
</file>