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837250" w:rsidRPr="00F867FC" w14:paraId="7C52FCE6" w14:textId="77777777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14:paraId="3615C5D3" w14:textId="77777777" w:rsidR="00837250" w:rsidRPr="00F867FC" w:rsidRDefault="00837250" w:rsidP="00E6250A">
            <w:pPr>
              <w:rPr>
                <w:rFonts w:cs="Arial"/>
                <w:b/>
              </w:rPr>
            </w:pPr>
            <w:r w:rsidRPr="00F867FC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F867FC" w14:paraId="3401F8BD" w14:textId="77777777" w:rsidTr="002C7F7E">
        <w:tc>
          <w:tcPr>
            <w:tcW w:w="2552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16BD0E2D" w14:textId="77777777" w:rsidR="00837250" w:rsidRPr="00F867FC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867FC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804" w:type="dxa"/>
            <w:tcBorders>
              <w:left w:val="single" w:sz="12" w:space="0" w:color="133D8D"/>
            </w:tcBorders>
            <w:vAlign w:val="center"/>
          </w:tcPr>
          <w:p w14:paraId="6DD58952" w14:textId="385728C9" w:rsidR="00837250" w:rsidRPr="00F867FC" w:rsidRDefault="00336A4E" w:rsidP="00472458">
            <w:pPr>
              <w:rPr>
                <w:rFonts w:cs="Arial"/>
                <w:szCs w:val="20"/>
              </w:rPr>
            </w:pPr>
            <w:r w:rsidRPr="00F867FC">
              <w:rPr>
                <w:rFonts w:cs="Arial"/>
                <w:szCs w:val="20"/>
              </w:rPr>
              <w:t>Learning</w:t>
            </w:r>
            <w:r w:rsidR="00550293" w:rsidRPr="00F867FC">
              <w:rPr>
                <w:rFonts w:cs="Arial"/>
                <w:szCs w:val="20"/>
              </w:rPr>
              <w:t xml:space="preserve"> &amp; Development Specialist</w:t>
            </w:r>
            <w:r w:rsidR="00031750" w:rsidRPr="00F867FC">
              <w:rPr>
                <w:rFonts w:cs="Arial"/>
                <w:szCs w:val="20"/>
              </w:rPr>
              <w:t xml:space="preserve"> – </w:t>
            </w:r>
            <w:r w:rsidR="00472458" w:rsidRPr="00F867FC">
              <w:rPr>
                <w:rFonts w:cs="Arial"/>
                <w:szCs w:val="20"/>
              </w:rPr>
              <w:t xml:space="preserve">Residential </w:t>
            </w:r>
            <w:r w:rsidR="00031750" w:rsidRPr="00F867FC">
              <w:rPr>
                <w:rFonts w:cs="Arial"/>
                <w:szCs w:val="20"/>
              </w:rPr>
              <w:t xml:space="preserve">Aged Care </w:t>
            </w:r>
          </w:p>
        </w:tc>
      </w:tr>
      <w:tr w:rsidR="00ED4F36" w:rsidRPr="00F867FC" w14:paraId="424BBE1F" w14:textId="77777777" w:rsidTr="002C7F7E">
        <w:tc>
          <w:tcPr>
            <w:tcW w:w="2552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4AB03E81" w14:textId="77777777" w:rsidR="00ED4F36" w:rsidRPr="00F867FC" w:rsidRDefault="00ED4F36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867FC">
              <w:rPr>
                <w:rFonts w:cs="Arial"/>
                <w:b/>
                <w:color w:val="FFFFFF" w:themeColor="background1"/>
              </w:rPr>
              <w:t>Employment Status:</w:t>
            </w:r>
          </w:p>
        </w:tc>
        <w:tc>
          <w:tcPr>
            <w:tcW w:w="6804" w:type="dxa"/>
            <w:tcBorders>
              <w:left w:val="single" w:sz="12" w:space="0" w:color="133D8D"/>
            </w:tcBorders>
            <w:vAlign w:val="center"/>
          </w:tcPr>
          <w:p w14:paraId="665ABE84" w14:textId="77777777" w:rsidR="00ED4F36" w:rsidRPr="00F867FC" w:rsidRDefault="00ED4F36" w:rsidP="00591679">
            <w:pPr>
              <w:rPr>
                <w:rFonts w:cs="Arial"/>
                <w:szCs w:val="18"/>
              </w:rPr>
            </w:pPr>
            <w:r w:rsidRPr="00F867FC">
              <w:rPr>
                <w:rFonts w:cs="Arial"/>
                <w:szCs w:val="18"/>
              </w:rPr>
              <w:t>Fulltime</w:t>
            </w:r>
          </w:p>
        </w:tc>
      </w:tr>
      <w:tr w:rsidR="005E0285" w:rsidRPr="00F867FC" w14:paraId="63E47710" w14:textId="77777777" w:rsidTr="002C7F7E">
        <w:tc>
          <w:tcPr>
            <w:tcW w:w="2552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EC981E0" w14:textId="77777777" w:rsidR="005E0285" w:rsidRPr="00F867FC" w:rsidRDefault="005E0285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867FC">
              <w:rPr>
                <w:rFonts w:cs="Arial"/>
                <w:b/>
                <w:color w:val="FFFFFF" w:themeColor="background1"/>
              </w:rPr>
              <w:t>Reports To:</w:t>
            </w:r>
          </w:p>
        </w:tc>
        <w:tc>
          <w:tcPr>
            <w:tcW w:w="6804" w:type="dxa"/>
            <w:tcBorders>
              <w:left w:val="single" w:sz="12" w:space="0" w:color="133D8D"/>
            </w:tcBorders>
            <w:vAlign w:val="center"/>
          </w:tcPr>
          <w:p w14:paraId="43886DAE" w14:textId="77777777" w:rsidR="005E0285" w:rsidRPr="00F867FC" w:rsidRDefault="00464C61" w:rsidP="00C25B7C">
            <w:pPr>
              <w:rPr>
                <w:rFonts w:cs="Arial"/>
                <w:szCs w:val="18"/>
              </w:rPr>
            </w:pPr>
            <w:r w:rsidRPr="00800AA1">
              <w:rPr>
                <w:rFonts w:cs="Arial"/>
                <w:szCs w:val="18"/>
              </w:rPr>
              <w:t>Learning &amp; Development</w:t>
            </w:r>
            <w:r w:rsidR="00F70CA2" w:rsidRPr="00F867FC">
              <w:rPr>
                <w:rFonts w:cs="Arial"/>
                <w:szCs w:val="18"/>
              </w:rPr>
              <w:t xml:space="preserve"> </w:t>
            </w:r>
            <w:r w:rsidR="00800AA1">
              <w:rPr>
                <w:rFonts w:cs="Arial"/>
                <w:szCs w:val="18"/>
              </w:rPr>
              <w:t>Lead</w:t>
            </w:r>
          </w:p>
        </w:tc>
      </w:tr>
      <w:tr w:rsidR="00837250" w:rsidRPr="00F867FC" w14:paraId="5776594D" w14:textId="77777777" w:rsidTr="002C7F7E">
        <w:tc>
          <w:tcPr>
            <w:tcW w:w="2552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4EB88C42" w14:textId="77777777" w:rsidR="00837250" w:rsidRPr="00F867FC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867FC">
              <w:rPr>
                <w:rFonts w:cs="Arial"/>
                <w:b/>
                <w:color w:val="FFFFFF" w:themeColor="background1"/>
              </w:rPr>
              <w:t xml:space="preserve">Department: </w:t>
            </w:r>
          </w:p>
        </w:tc>
        <w:tc>
          <w:tcPr>
            <w:tcW w:w="6804" w:type="dxa"/>
            <w:tcBorders>
              <w:left w:val="single" w:sz="12" w:space="0" w:color="133D8D"/>
            </w:tcBorders>
            <w:vAlign w:val="center"/>
          </w:tcPr>
          <w:p w14:paraId="18E9ABF3" w14:textId="07895498" w:rsidR="00837250" w:rsidRPr="00F867FC" w:rsidRDefault="009A57FE" w:rsidP="00591679">
            <w:pPr>
              <w:rPr>
                <w:rFonts w:cs="Arial"/>
                <w:szCs w:val="20"/>
              </w:rPr>
            </w:pPr>
            <w:r w:rsidRPr="00F867FC">
              <w:rPr>
                <w:rFonts w:cs="Arial"/>
                <w:szCs w:val="18"/>
              </w:rPr>
              <w:t>Organisation</w:t>
            </w:r>
            <w:r w:rsidR="008F71E9">
              <w:rPr>
                <w:rFonts w:cs="Arial"/>
                <w:szCs w:val="18"/>
              </w:rPr>
              <w:t>al</w:t>
            </w:r>
            <w:r w:rsidRPr="00F867FC">
              <w:rPr>
                <w:rFonts w:cs="Arial"/>
                <w:szCs w:val="18"/>
              </w:rPr>
              <w:t xml:space="preserve"> Development</w:t>
            </w:r>
          </w:p>
        </w:tc>
      </w:tr>
      <w:tr w:rsidR="00837250" w:rsidRPr="00F867FC" w14:paraId="729990C5" w14:textId="77777777" w:rsidTr="002C7F7E">
        <w:tc>
          <w:tcPr>
            <w:tcW w:w="2552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24CB882" w14:textId="77777777" w:rsidR="00837250" w:rsidRPr="00F867FC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867FC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804" w:type="dxa"/>
            <w:tcBorders>
              <w:left w:val="single" w:sz="12" w:space="0" w:color="133D8D"/>
            </w:tcBorders>
            <w:vAlign w:val="center"/>
          </w:tcPr>
          <w:p w14:paraId="044F55C1" w14:textId="77777777" w:rsidR="00837250" w:rsidRPr="00F867FC" w:rsidRDefault="00336A4E" w:rsidP="00464C61">
            <w:pPr>
              <w:rPr>
                <w:rFonts w:cstheme="minorHAnsi"/>
                <w:szCs w:val="20"/>
              </w:rPr>
            </w:pPr>
            <w:r w:rsidRPr="00F867FC">
              <w:rPr>
                <w:rFonts w:cstheme="minorHAnsi"/>
              </w:rPr>
              <w:t>N/A</w:t>
            </w:r>
          </w:p>
        </w:tc>
      </w:tr>
      <w:tr w:rsidR="00837250" w:rsidRPr="00F867FC" w14:paraId="6D059675" w14:textId="77777777" w:rsidTr="002C7F7E">
        <w:tc>
          <w:tcPr>
            <w:tcW w:w="2552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0853D699" w14:textId="77777777" w:rsidR="00837250" w:rsidRPr="00F867FC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F867FC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804" w:type="dxa"/>
            <w:tcBorders>
              <w:left w:val="single" w:sz="12" w:space="0" w:color="133D8D"/>
            </w:tcBorders>
            <w:vAlign w:val="center"/>
          </w:tcPr>
          <w:p w14:paraId="23E82909" w14:textId="34246D4C" w:rsidR="008F71E9" w:rsidRDefault="00837250" w:rsidP="002941D8">
            <w:pPr>
              <w:spacing w:before="60"/>
              <w:rPr>
                <w:rFonts w:cstheme="minorHAnsi"/>
              </w:rPr>
            </w:pPr>
            <w:r w:rsidRPr="00F867FC">
              <w:rPr>
                <w:rFonts w:cstheme="minorHAnsi"/>
                <w:b/>
              </w:rPr>
              <w:t>Internal:</w:t>
            </w:r>
            <w:r w:rsidR="00E86699" w:rsidRPr="00F867FC">
              <w:rPr>
                <w:rFonts w:cstheme="minorHAnsi"/>
                <w:b/>
              </w:rPr>
              <w:t xml:space="preserve"> </w:t>
            </w:r>
            <w:r w:rsidR="009420D4" w:rsidRPr="00F867FC">
              <w:rPr>
                <w:rFonts w:cstheme="minorHAnsi"/>
              </w:rPr>
              <w:t>Learning &amp; Development (L&amp;D) team</w:t>
            </w:r>
            <w:r w:rsidR="00F53650">
              <w:rPr>
                <w:rFonts w:cstheme="minorHAnsi"/>
              </w:rPr>
              <w:t xml:space="preserve">; </w:t>
            </w:r>
            <w:r w:rsidR="008F71E9">
              <w:rPr>
                <w:rFonts w:cstheme="minorHAnsi"/>
              </w:rPr>
              <w:t>Governance</w:t>
            </w:r>
            <w:r w:rsidR="00D60A41">
              <w:rPr>
                <w:rFonts w:cstheme="minorHAnsi"/>
              </w:rPr>
              <w:t>,</w:t>
            </w:r>
            <w:r w:rsidR="008F71E9">
              <w:rPr>
                <w:rFonts w:cstheme="minorHAnsi"/>
              </w:rPr>
              <w:t xml:space="preserve"> Risk &amp; Assurance</w:t>
            </w:r>
            <w:r w:rsidR="00472458">
              <w:rPr>
                <w:rFonts w:cstheme="minorHAnsi"/>
              </w:rPr>
              <w:t xml:space="preserve"> (GRA)</w:t>
            </w:r>
            <w:r w:rsidR="008F71E9">
              <w:rPr>
                <w:rFonts w:cstheme="minorHAnsi"/>
              </w:rPr>
              <w:t xml:space="preserve">: </w:t>
            </w:r>
            <w:r w:rsidR="003571C6" w:rsidRPr="00F867FC">
              <w:rPr>
                <w:rFonts w:cstheme="minorHAnsi"/>
              </w:rPr>
              <w:t xml:space="preserve">Research &amp; </w:t>
            </w:r>
            <w:r w:rsidR="008F71E9">
              <w:rPr>
                <w:rFonts w:cstheme="minorHAnsi"/>
              </w:rPr>
              <w:t>Innovation/</w:t>
            </w:r>
            <w:r w:rsidR="003571C6" w:rsidRPr="00F867FC">
              <w:rPr>
                <w:rFonts w:cstheme="minorHAnsi"/>
              </w:rPr>
              <w:t>Assurance &amp; Risk Teams</w:t>
            </w:r>
          </w:p>
          <w:p w14:paraId="58812216" w14:textId="3271BDF2" w:rsidR="00837250" w:rsidRPr="00F53650" w:rsidRDefault="00B76C7F" w:rsidP="002941D8">
            <w:pPr>
              <w:spacing w:before="60"/>
              <w:rPr>
                <w:rFonts w:cstheme="minorHAnsi"/>
              </w:rPr>
            </w:pPr>
            <w:r w:rsidRPr="00F867FC">
              <w:rPr>
                <w:rFonts w:cstheme="minorHAnsi"/>
              </w:rPr>
              <w:t xml:space="preserve">Residential Aged Care &amp; Retirement Villages </w:t>
            </w:r>
            <w:r w:rsidR="004A798E" w:rsidRPr="00F867FC">
              <w:rPr>
                <w:rFonts w:cstheme="minorHAnsi"/>
              </w:rPr>
              <w:t xml:space="preserve">(RAC&amp;RV) </w:t>
            </w:r>
            <w:r w:rsidR="002C7F7E" w:rsidRPr="00F867FC">
              <w:rPr>
                <w:rFonts w:cstheme="minorHAnsi"/>
              </w:rPr>
              <w:t>management g</w:t>
            </w:r>
            <w:r w:rsidRPr="00F867FC">
              <w:rPr>
                <w:rFonts w:cstheme="minorHAnsi"/>
              </w:rPr>
              <w:t>roup</w:t>
            </w:r>
            <w:r w:rsidR="00F53650">
              <w:rPr>
                <w:rFonts w:cstheme="minorHAnsi"/>
              </w:rPr>
              <w:t xml:space="preserve">; </w:t>
            </w:r>
            <w:r w:rsidR="009A57FE" w:rsidRPr="00F867FC">
              <w:rPr>
                <w:rFonts w:cstheme="minorHAnsi"/>
              </w:rPr>
              <w:t>Senior leaders, managers, staff, volunteers</w:t>
            </w:r>
          </w:p>
        </w:tc>
      </w:tr>
      <w:tr w:rsidR="00837250" w:rsidRPr="00F867FC" w14:paraId="7FBCBFFE" w14:textId="77777777" w:rsidTr="002C7F7E">
        <w:tc>
          <w:tcPr>
            <w:tcW w:w="2552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14:paraId="0A69F8FF" w14:textId="77777777" w:rsidR="00837250" w:rsidRPr="00F867FC" w:rsidRDefault="00837250" w:rsidP="00AE0F5B">
            <w:pPr>
              <w:rPr>
                <w:rFonts w:cs="Arial"/>
              </w:rPr>
            </w:pPr>
          </w:p>
        </w:tc>
        <w:tc>
          <w:tcPr>
            <w:tcW w:w="6804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14:paraId="1E821718" w14:textId="77777777" w:rsidR="00837250" w:rsidRPr="00F867FC" w:rsidRDefault="00837250" w:rsidP="002941D8">
            <w:pPr>
              <w:spacing w:before="60"/>
              <w:rPr>
                <w:rFonts w:cs="Arial"/>
                <w:b/>
              </w:rPr>
            </w:pPr>
            <w:r w:rsidRPr="00F867FC">
              <w:rPr>
                <w:rFonts w:cs="Arial"/>
                <w:b/>
              </w:rPr>
              <w:t xml:space="preserve">External: </w:t>
            </w:r>
            <w:r w:rsidR="002C7F7E" w:rsidRPr="00F867FC">
              <w:rPr>
                <w:rFonts w:cs="Arial"/>
                <w:szCs w:val="18"/>
              </w:rPr>
              <w:t>Residents and families</w:t>
            </w:r>
            <w:r w:rsidR="002941D8" w:rsidRPr="00F867FC">
              <w:rPr>
                <w:rFonts w:cs="Arial"/>
                <w:szCs w:val="18"/>
              </w:rPr>
              <w:t>; Government departments</w:t>
            </w:r>
            <w:r w:rsidR="002C7F7E" w:rsidRPr="00F867FC">
              <w:rPr>
                <w:rFonts w:cs="Arial"/>
                <w:szCs w:val="18"/>
              </w:rPr>
              <w:t>; Australian Aged Care Quality Agency</w:t>
            </w:r>
            <w:r w:rsidR="003571C6" w:rsidRPr="00F867FC">
              <w:rPr>
                <w:rFonts w:cs="Arial"/>
                <w:szCs w:val="18"/>
              </w:rPr>
              <w:t xml:space="preserve"> in relation to professional development practices</w:t>
            </w:r>
          </w:p>
        </w:tc>
      </w:tr>
    </w:tbl>
    <w:p w14:paraId="071E7008" w14:textId="77777777" w:rsidR="00837250" w:rsidRPr="00F867FC" w:rsidRDefault="00837250" w:rsidP="002B06BF">
      <w:pPr>
        <w:spacing w:after="120"/>
      </w:pPr>
    </w:p>
    <w:p w14:paraId="35BCA704" w14:textId="77777777" w:rsidR="00993021" w:rsidRPr="00F867FC" w:rsidRDefault="005E0285" w:rsidP="002B06BF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spacing w:after="120"/>
        <w:rPr>
          <w:b/>
        </w:rPr>
      </w:pPr>
      <w:r w:rsidRPr="00F867FC">
        <w:rPr>
          <w:b/>
        </w:rPr>
        <w:t>Organisational Context</w:t>
      </w:r>
      <w:r w:rsidR="00837F17" w:rsidRPr="00F867FC">
        <w:rPr>
          <w:b/>
        </w:rPr>
        <w:t xml:space="preserve"> </w:t>
      </w:r>
    </w:p>
    <w:p w14:paraId="21602291" w14:textId="77777777" w:rsidR="005E0285" w:rsidRPr="00F867FC" w:rsidRDefault="005E0285" w:rsidP="002B06BF">
      <w:pPr>
        <w:spacing w:after="120"/>
        <w:jc w:val="both"/>
        <w:rPr>
          <w:rFonts w:cstheme="minorHAnsi"/>
        </w:rPr>
      </w:pPr>
      <w:r w:rsidRPr="00F867FC">
        <w:rPr>
          <w:rFonts w:cstheme="minorHAnsi"/>
        </w:rPr>
        <w:t>For 140 years, we have been providing a broad range of diverse services for our clients and community in areas of aged care, disability services, children and families support and mental health and wellbeing programs.</w:t>
      </w:r>
    </w:p>
    <w:p w14:paraId="001ACD8D" w14:textId="159982FB" w:rsidR="005E0285" w:rsidRDefault="005E0285" w:rsidP="002B06BF">
      <w:pPr>
        <w:spacing w:after="120"/>
        <w:jc w:val="both"/>
        <w:rPr>
          <w:rFonts w:cstheme="minorHAnsi"/>
        </w:rPr>
      </w:pPr>
      <w:r w:rsidRPr="00F867FC">
        <w:rPr>
          <w:rFonts w:cstheme="minorHAnsi"/>
        </w:rPr>
        <w:t>Employing 2700 people and supported by 400 volunteers, we operate in a competitive environment undergoing significant industry reforms.</w:t>
      </w:r>
      <w:r w:rsidR="000C4C2D">
        <w:rPr>
          <w:rFonts w:cstheme="minorHAnsi"/>
        </w:rPr>
        <w:t xml:space="preserve"> </w:t>
      </w:r>
    </w:p>
    <w:p w14:paraId="596B56B8" w14:textId="77777777" w:rsidR="00F53650" w:rsidRPr="00F867FC" w:rsidRDefault="00F53650" w:rsidP="002B06BF">
      <w:pPr>
        <w:spacing w:after="120"/>
        <w:jc w:val="both"/>
        <w:rPr>
          <w:rFonts w:cstheme="minorHAnsi"/>
        </w:rPr>
      </w:pPr>
    </w:p>
    <w:p w14:paraId="1F4C4888" w14:textId="77777777" w:rsidR="005E0285" w:rsidRPr="00F867FC" w:rsidRDefault="005E0285" w:rsidP="002B06BF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spacing w:after="120"/>
        <w:rPr>
          <w:b/>
        </w:rPr>
      </w:pPr>
      <w:r w:rsidRPr="00F867FC">
        <w:rPr>
          <w:b/>
        </w:rPr>
        <w:t>Position Statement/Overall Purpose</w:t>
      </w:r>
    </w:p>
    <w:p w14:paraId="063F536E" w14:textId="5B033A92" w:rsidR="00872BE5" w:rsidRDefault="001963ED" w:rsidP="002B06BF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This is a new L&amp;D </w:t>
      </w:r>
      <w:r w:rsidR="008139A5">
        <w:rPr>
          <w:rFonts w:cstheme="minorHAnsi"/>
        </w:rPr>
        <w:t xml:space="preserve">Specialist </w:t>
      </w:r>
      <w:r>
        <w:rPr>
          <w:rFonts w:cstheme="minorHAnsi"/>
        </w:rPr>
        <w:t>role</w:t>
      </w:r>
      <w:r w:rsidR="00AD57DB">
        <w:rPr>
          <w:rFonts w:cstheme="minorHAnsi"/>
        </w:rPr>
        <w:t>,</w:t>
      </w:r>
      <w:r>
        <w:rPr>
          <w:rFonts w:cstheme="minorHAnsi"/>
        </w:rPr>
        <w:t xml:space="preserve"> responsible for </w:t>
      </w:r>
      <w:r w:rsidR="00872BE5" w:rsidRPr="00872BE5">
        <w:rPr>
          <w:rFonts w:cstheme="minorHAnsi"/>
        </w:rPr>
        <w:t xml:space="preserve">providing advanced leadership in the provision of education programs and resources that build clinical and professional expertise and capability within the </w:t>
      </w:r>
      <w:r w:rsidR="00AD57DB">
        <w:rPr>
          <w:rFonts w:cstheme="minorHAnsi"/>
        </w:rPr>
        <w:t>RAC &amp; RV</w:t>
      </w:r>
      <w:r w:rsidR="00872BE5">
        <w:rPr>
          <w:rFonts w:cstheme="minorHAnsi"/>
        </w:rPr>
        <w:t xml:space="preserve"> </w:t>
      </w:r>
      <w:r w:rsidR="00872BE5" w:rsidRPr="00872BE5">
        <w:rPr>
          <w:rFonts w:cstheme="minorHAnsi"/>
        </w:rPr>
        <w:t>workforce.</w:t>
      </w:r>
    </w:p>
    <w:p w14:paraId="38122EAB" w14:textId="36957764" w:rsidR="00AD57DB" w:rsidRDefault="00AD57DB" w:rsidP="00AD57DB">
      <w:pPr>
        <w:spacing w:after="120"/>
        <w:jc w:val="both"/>
        <w:rPr>
          <w:rFonts w:cstheme="minorHAnsi"/>
        </w:rPr>
      </w:pPr>
      <w:r w:rsidRPr="00AD57DB">
        <w:rPr>
          <w:rFonts w:cstheme="minorHAnsi"/>
        </w:rPr>
        <w:t>The L&amp;D Specialist</w:t>
      </w:r>
      <w:r w:rsidR="00B04DD3">
        <w:rPr>
          <w:rFonts w:cstheme="minorHAnsi"/>
        </w:rPr>
        <w:t xml:space="preserve"> – RAC </w:t>
      </w:r>
      <w:r w:rsidRPr="00AD57DB">
        <w:rPr>
          <w:rFonts w:cstheme="minorHAnsi"/>
        </w:rPr>
        <w:t xml:space="preserve">is a Registered Nurse who is recognised as an advanced level practitioner with expertise in translating skills, knowledge and evidence into nursing capability of caring for </w:t>
      </w:r>
      <w:r>
        <w:rPr>
          <w:rFonts w:cstheme="minorHAnsi"/>
        </w:rPr>
        <w:t>aged care residents</w:t>
      </w:r>
      <w:r w:rsidRPr="00AD57DB">
        <w:rPr>
          <w:rFonts w:cstheme="minorHAnsi"/>
        </w:rPr>
        <w:t xml:space="preserve">. </w:t>
      </w:r>
      <w:r w:rsidR="00B04DD3">
        <w:rPr>
          <w:rFonts w:cstheme="minorHAnsi"/>
        </w:rPr>
        <w:t xml:space="preserve"> </w:t>
      </w:r>
      <w:r w:rsidRPr="00AD57DB">
        <w:rPr>
          <w:rFonts w:cstheme="minorHAnsi"/>
        </w:rPr>
        <w:t xml:space="preserve">This role recognises and achieves effective </w:t>
      </w:r>
      <w:r w:rsidR="003D4C38">
        <w:rPr>
          <w:rFonts w:cstheme="minorHAnsi"/>
        </w:rPr>
        <w:t>care staff</w:t>
      </w:r>
      <w:r w:rsidRPr="00AD57DB">
        <w:rPr>
          <w:rFonts w:cstheme="minorHAnsi"/>
        </w:rPr>
        <w:t xml:space="preserve"> education through the application of a contemporary adult learning framework within </w:t>
      </w:r>
      <w:r w:rsidR="00F5323A">
        <w:rPr>
          <w:rFonts w:cstheme="minorHAnsi"/>
        </w:rPr>
        <w:t xml:space="preserve">the aged </w:t>
      </w:r>
      <w:r>
        <w:rPr>
          <w:rFonts w:cstheme="minorHAnsi"/>
        </w:rPr>
        <w:t xml:space="preserve">care </w:t>
      </w:r>
      <w:r w:rsidRPr="00AD57DB">
        <w:rPr>
          <w:rFonts w:cstheme="minorHAnsi"/>
        </w:rPr>
        <w:t>environment</w:t>
      </w:r>
      <w:r>
        <w:rPr>
          <w:rFonts w:cstheme="minorHAnsi"/>
        </w:rPr>
        <w:t>.</w:t>
      </w:r>
    </w:p>
    <w:p w14:paraId="186855FB" w14:textId="72BBCB9E" w:rsidR="00B15D3A" w:rsidRDefault="00B15D3A" w:rsidP="002B06BF">
      <w:pPr>
        <w:spacing w:after="120"/>
        <w:jc w:val="both"/>
        <w:rPr>
          <w:rFonts w:cstheme="minorHAnsi"/>
        </w:rPr>
      </w:pPr>
      <w:r w:rsidRPr="00F867FC">
        <w:rPr>
          <w:rFonts w:cstheme="minorHAnsi"/>
        </w:rPr>
        <w:t xml:space="preserve">The </w:t>
      </w:r>
      <w:r w:rsidR="00550293" w:rsidRPr="00F867FC">
        <w:rPr>
          <w:rFonts w:cs="Arial"/>
          <w:szCs w:val="20"/>
        </w:rPr>
        <w:t xml:space="preserve">L&amp;D Specialist </w:t>
      </w:r>
      <w:r w:rsidR="00DD7F1C" w:rsidRPr="00F867FC">
        <w:rPr>
          <w:rFonts w:cstheme="minorHAnsi"/>
        </w:rPr>
        <w:t xml:space="preserve">– </w:t>
      </w:r>
      <w:r w:rsidR="00784FA2">
        <w:rPr>
          <w:rFonts w:cstheme="minorHAnsi"/>
        </w:rPr>
        <w:t>R</w:t>
      </w:r>
      <w:r w:rsidR="00AD57DB">
        <w:rPr>
          <w:rFonts w:cstheme="minorHAnsi"/>
        </w:rPr>
        <w:t>A</w:t>
      </w:r>
      <w:r w:rsidR="00784FA2">
        <w:rPr>
          <w:rFonts w:cstheme="minorHAnsi"/>
        </w:rPr>
        <w:t xml:space="preserve">C </w:t>
      </w:r>
      <w:r w:rsidRPr="00F867FC">
        <w:rPr>
          <w:rFonts w:cstheme="minorHAnsi"/>
        </w:rPr>
        <w:t xml:space="preserve">works closely with the </w:t>
      </w:r>
      <w:r w:rsidR="00550293" w:rsidRPr="00F867FC">
        <w:rPr>
          <w:rFonts w:cstheme="minorHAnsi"/>
        </w:rPr>
        <w:t>L&amp;D team, GRA</w:t>
      </w:r>
      <w:r w:rsidR="008F7FBF">
        <w:rPr>
          <w:rFonts w:cstheme="minorHAnsi"/>
        </w:rPr>
        <w:t xml:space="preserve"> (</w:t>
      </w:r>
      <w:r w:rsidR="002941D8" w:rsidRPr="00F867FC">
        <w:rPr>
          <w:rFonts w:cstheme="minorHAnsi"/>
        </w:rPr>
        <w:t xml:space="preserve">Research &amp; </w:t>
      </w:r>
      <w:r w:rsidR="008F71E9">
        <w:rPr>
          <w:rFonts w:cstheme="minorHAnsi"/>
        </w:rPr>
        <w:t>Innovation</w:t>
      </w:r>
      <w:r w:rsidR="008F7FBF">
        <w:rPr>
          <w:rFonts w:cstheme="minorHAnsi"/>
        </w:rPr>
        <w:t xml:space="preserve">, </w:t>
      </w:r>
      <w:r w:rsidR="002941D8" w:rsidRPr="00F867FC">
        <w:rPr>
          <w:rFonts w:cstheme="minorHAnsi"/>
        </w:rPr>
        <w:t>Assurance &amp; Risk teams</w:t>
      </w:r>
      <w:r w:rsidR="008F7FBF">
        <w:rPr>
          <w:rFonts w:cstheme="minorHAnsi"/>
        </w:rPr>
        <w:t>)</w:t>
      </w:r>
      <w:r w:rsidR="002941D8" w:rsidRPr="00F867FC">
        <w:rPr>
          <w:rFonts w:cstheme="minorHAnsi"/>
        </w:rPr>
        <w:t>,</w:t>
      </w:r>
      <w:r w:rsidR="002C7F7E" w:rsidRPr="00F867FC">
        <w:rPr>
          <w:rFonts w:cstheme="minorHAnsi"/>
        </w:rPr>
        <w:t xml:space="preserve"> the </w:t>
      </w:r>
      <w:r w:rsidR="00550293" w:rsidRPr="00F867FC">
        <w:rPr>
          <w:rFonts w:cstheme="minorHAnsi"/>
        </w:rPr>
        <w:t xml:space="preserve">Care </w:t>
      </w:r>
      <w:r w:rsidR="002C7F7E" w:rsidRPr="00F867FC">
        <w:rPr>
          <w:rFonts w:cstheme="minorHAnsi"/>
        </w:rPr>
        <w:t>System</w:t>
      </w:r>
      <w:r w:rsidR="00D60A41">
        <w:rPr>
          <w:rFonts w:cstheme="minorHAnsi"/>
        </w:rPr>
        <w:t>s</w:t>
      </w:r>
      <w:r w:rsidR="00550293" w:rsidRPr="00F867FC">
        <w:rPr>
          <w:rFonts w:cstheme="minorHAnsi"/>
        </w:rPr>
        <w:t xml:space="preserve"> Trainer</w:t>
      </w:r>
      <w:r w:rsidR="00472458">
        <w:rPr>
          <w:rFonts w:cstheme="minorHAnsi"/>
        </w:rPr>
        <w:t xml:space="preserve"> – </w:t>
      </w:r>
      <w:r w:rsidR="00D60A41">
        <w:rPr>
          <w:rFonts w:cstheme="minorHAnsi"/>
        </w:rPr>
        <w:t>Clinical</w:t>
      </w:r>
      <w:r w:rsidR="004C0ED4" w:rsidRPr="00F867FC">
        <w:rPr>
          <w:rFonts w:cstheme="minorHAnsi"/>
        </w:rPr>
        <w:t>,</w:t>
      </w:r>
      <w:r w:rsidR="002C7F7E" w:rsidRPr="00F867FC">
        <w:rPr>
          <w:rFonts w:cstheme="minorHAnsi"/>
        </w:rPr>
        <w:t xml:space="preserve"> and the RAC</w:t>
      </w:r>
      <w:r w:rsidR="00AD57DB">
        <w:rPr>
          <w:rFonts w:cstheme="minorHAnsi"/>
        </w:rPr>
        <w:t xml:space="preserve"> </w:t>
      </w:r>
      <w:r w:rsidR="002C7F7E" w:rsidRPr="00F867FC">
        <w:rPr>
          <w:rFonts w:cstheme="minorHAnsi"/>
        </w:rPr>
        <w:t>&amp;</w:t>
      </w:r>
      <w:r w:rsidR="00AD57DB">
        <w:rPr>
          <w:rFonts w:cstheme="minorHAnsi"/>
        </w:rPr>
        <w:t xml:space="preserve"> </w:t>
      </w:r>
      <w:r w:rsidR="002C7F7E" w:rsidRPr="00F867FC">
        <w:rPr>
          <w:rFonts w:cstheme="minorHAnsi"/>
        </w:rPr>
        <w:t>RV management group</w:t>
      </w:r>
      <w:r w:rsidRPr="00F867FC">
        <w:rPr>
          <w:rFonts w:cstheme="minorHAnsi"/>
        </w:rPr>
        <w:t>.</w:t>
      </w:r>
    </w:p>
    <w:p w14:paraId="1BDA629F" w14:textId="77777777" w:rsidR="00AD57DB" w:rsidRDefault="00AD57DB" w:rsidP="002B06BF">
      <w:pPr>
        <w:spacing w:after="120"/>
        <w:jc w:val="both"/>
        <w:rPr>
          <w:rFonts w:cstheme="minorHAnsi"/>
        </w:rPr>
      </w:pPr>
    </w:p>
    <w:p w14:paraId="297F7059" w14:textId="77777777" w:rsidR="00AD57DB" w:rsidRDefault="00AD57DB" w:rsidP="002B06BF">
      <w:pPr>
        <w:spacing w:after="120"/>
        <w:jc w:val="both"/>
        <w:rPr>
          <w:rFonts w:cstheme="minorHAnsi"/>
        </w:rPr>
      </w:pPr>
    </w:p>
    <w:p w14:paraId="5090ADE0" w14:textId="77777777" w:rsidR="00F53650" w:rsidRDefault="00F53650" w:rsidP="002B06BF">
      <w:pPr>
        <w:spacing w:after="120"/>
        <w:jc w:val="both"/>
        <w:rPr>
          <w:rFonts w:cstheme="minorHAnsi"/>
        </w:rPr>
      </w:pPr>
    </w:p>
    <w:p w14:paraId="05EAC3B6" w14:textId="77777777" w:rsidR="00F53650" w:rsidRDefault="00F53650" w:rsidP="002B06BF">
      <w:pPr>
        <w:spacing w:after="120"/>
        <w:jc w:val="both"/>
        <w:rPr>
          <w:rFonts w:cstheme="minorHAnsi"/>
        </w:rPr>
      </w:pPr>
    </w:p>
    <w:p w14:paraId="1905DB3A" w14:textId="77777777" w:rsidR="00AD57DB" w:rsidRDefault="00AD57DB" w:rsidP="002B06BF">
      <w:pPr>
        <w:spacing w:after="120"/>
        <w:jc w:val="both"/>
        <w:rPr>
          <w:rFonts w:cstheme="minorHAnsi"/>
        </w:rPr>
      </w:pPr>
    </w:p>
    <w:p w14:paraId="265D646B" w14:textId="77777777" w:rsidR="00837F17" w:rsidRPr="00F867FC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867FC">
        <w:rPr>
          <w:b/>
        </w:rPr>
        <w:lastRenderedPageBreak/>
        <w:t xml:space="preserve">Key Accountabilities </w:t>
      </w:r>
    </w:p>
    <w:p w14:paraId="67E22E51" w14:textId="206C76CC" w:rsidR="003571C6" w:rsidRPr="00F867FC" w:rsidRDefault="003571C6" w:rsidP="003571C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F867FC">
        <w:rPr>
          <w:rFonts w:cstheme="minorHAnsi"/>
          <w:b/>
          <w:u w:val="single"/>
        </w:rPr>
        <w:t xml:space="preserve">Development </w:t>
      </w:r>
      <w:r w:rsidR="0069737A">
        <w:rPr>
          <w:rFonts w:cstheme="minorHAnsi"/>
          <w:b/>
          <w:u w:val="single"/>
        </w:rPr>
        <w:t xml:space="preserve">of </w:t>
      </w:r>
      <w:r w:rsidR="00F53650">
        <w:rPr>
          <w:rFonts w:cstheme="minorHAnsi"/>
          <w:b/>
          <w:u w:val="single"/>
        </w:rPr>
        <w:t>c</w:t>
      </w:r>
      <w:r w:rsidR="005B7FCF">
        <w:rPr>
          <w:rFonts w:cstheme="minorHAnsi"/>
          <w:b/>
          <w:u w:val="single"/>
        </w:rPr>
        <w:t xml:space="preserve">are and </w:t>
      </w:r>
      <w:r w:rsidR="00F53650">
        <w:rPr>
          <w:rFonts w:cstheme="minorHAnsi"/>
          <w:b/>
          <w:u w:val="single"/>
        </w:rPr>
        <w:t>clinical p</w:t>
      </w:r>
      <w:r w:rsidR="0069737A">
        <w:rPr>
          <w:rFonts w:cstheme="minorHAnsi"/>
          <w:b/>
          <w:u w:val="single"/>
        </w:rPr>
        <w:t>ractice</w:t>
      </w:r>
    </w:p>
    <w:p w14:paraId="17E16CC0" w14:textId="10ABE2D1" w:rsidR="0069737A" w:rsidRPr="00AA7D50" w:rsidRDefault="0069737A" w:rsidP="00AA7D50">
      <w:pPr>
        <w:jc w:val="both"/>
        <w:rPr>
          <w:rFonts w:cstheme="minorHAnsi"/>
        </w:rPr>
      </w:pPr>
      <w:r w:rsidRPr="00AA7D50">
        <w:rPr>
          <w:rFonts w:cstheme="minorHAnsi"/>
        </w:rPr>
        <w:t xml:space="preserve">Provide </w:t>
      </w:r>
      <w:r w:rsidR="00B04DD3" w:rsidRPr="00FF6DA3">
        <w:rPr>
          <w:rFonts w:cstheme="minorHAnsi"/>
        </w:rPr>
        <w:t>care and clinical</w:t>
      </w:r>
      <w:r w:rsidR="00B04DD3">
        <w:rPr>
          <w:rFonts w:cstheme="minorHAnsi"/>
        </w:rPr>
        <w:t xml:space="preserve"> </w:t>
      </w:r>
      <w:r w:rsidRPr="00AA7D50">
        <w:rPr>
          <w:rFonts w:cstheme="minorHAnsi"/>
        </w:rPr>
        <w:t>leadership and contribute to the development of clinical practice at an advanced level by:</w:t>
      </w:r>
    </w:p>
    <w:p w14:paraId="09D18C06" w14:textId="50D7EF2C" w:rsidR="003571C6" w:rsidRDefault="00AA7D50" w:rsidP="003571C6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F867FC">
        <w:rPr>
          <w:rFonts w:cstheme="minorHAnsi"/>
        </w:rPr>
        <w:t>Plan</w:t>
      </w:r>
      <w:r>
        <w:rPr>
          <w:rFonts w:cstheme="minorHAnsi"/>
        </w:rPr>
        <w:t>ning</w:t>
      </w:r>
      <w:r w:rsidR="003571C6" w:rsidRPr="00F867FC">
        <w:rPr>
          <w:rFonts w:cstheme="minorHAnsi"/>
        </w:rPr>
        <w:t xml:space="preserve">, </w:t>
      </w:r>
      <w:r w:rsidR="003351C9">
        <w:rPr>
          <w:rFonts w:cstheme="minorHAnsi"/>
        </w:rPr>
        <w:t>design</w:t>
      </w:r>
      <w:r>
        <w:rPr>
          <w:rFonts w:cstheme="minorHAnsi"/>
        </w:rPr>
        <w:t>ing</w:t>
      </w:r>
      <w:r w:rsidR="000111CC" w:rsidRPr="00F867FC">
        <w:rPr>
          <w:rFonts w:cstheme="minorHAnsi"/>
        </w:rPr>
        <w:t xml:space="preserve">, </w:t>
      </w:r>
      <w:r>
        <w:rPr>
          <w:rFonts w:cstheme="minorHAnsi"/>
        </w:rPr>
        <w:t>delivering</w:t>
      </w:r>
      <w:r w:rsidR="003571C6" w:rsidRPr="00F867FC">
        <w:rPr>
          <w:rFonts w:cstheme="minorHAnsi"/>
        </w:rPr>
        <w:t xml:space="preserve"> and evaluat</w:t>
      </w:r>
      <w:r>
        <w:rPr>
          <w:rFonts w:cstheme="minorHAnsi"/>
        </w:rPr>
        <w:t>ing</w:t>
      </w:r>
      <w:r w:rsidR="003571C6" w:rsidRPr="00F867FC">
        <w:rPr>
          <w:rFonts w:cstheme="minorHAnsi"/>
        </w:rPr>
        <w:t xml:space="preserve"> L&amp;D programs, courses, content, materials and resources covering </w:t>
      </w:r>
      <w:r w:rsidR="0026322D">
        <w:rPr>
          <w:rFonts w:cstheme="minorHAnsi"/>
        </w:rPr>
        <w:t>the full spectrum of L&amp;D needs (</w:t>
      </w:r>
      <w:r w:rsidR="003571C6" w:rsidRPr="00F867FC">
        <w:rPr>
          <w:rFonts w:cstheme="minorHAnsi"/>
        </w:rPr>
        <w:t xml:space="preserve">mandatory training, core competency training, </w:t>
      </w:r>
      <w:proofErr w:type="spellStart"/>
      <w:r w:rsidR="001963ED">
        <w:rPr>
          <w:rFonts w:cstheme="minorHAnsi"/>
        </w:rPr>
        <w:t>onboarding</w:t>
      </w:r>
      <w:proofErr w:type="spellEnd"/>
      <w:r w:rsidR="001963ED">
        <w:rPr>
          <w:rFonts w:cstheme="minorHAnsi"/>
        </w:rPr>
        <w:t>, p</w:t>
      </w:r>
      <w:r w:rsidR="003571C6" w:rsidRPr="00F867FC">
        <w:rPr>
          <w:rFonts w:cstheme="minorHAnsi"/>
        </w:rPr>
        <w:t xml:space="preserve">ractice </w:t>
      </w:r>
      <w:r w:rsidR="0026322D">
        <w:rPr>
          <w:rFonts w:cstheme="minorHAnsi"/>
        </w:rPr>
        <w:t xml:space="preserve">standards </w:t>
      </w:r>
      <w:r w:rsidR="003571C6" w:rsidRPr="00F867FC">
        <w:rPr>
          <w:rFonts w:cstheme="minorHAnsi"/>
        </w:rPr>
        <w:t>implementation</w:t>
      </w:r>
      <w:r w:rsidR="0026322D">
        <w:rPr>
          <w:rFonts w:cstheme="minorHAnsi"/>
        </w:rPr>
        <w:t>)</w:t>
      </w:r>
      <w:r w:rsidR="001963ED">
        <w:rPr>
          <w:rFonts w:cstheme="minorHAnsi"/>
        </w:rPr>
        <w:t xml:space="preserve"> in line with Anglicare’s best practice L&amp;D framework</w:t>
      </w:r>
    </w:p>
    <w:p w14:paraId="5096256B" w14:textId="00693A47" w:rsidR="00AD57DB" w:rsidRPr="00F867FC" w:rsidRDefault="00AD57DB" w:rsidP="00AD57DB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Pr="00AD57DB">
        <w:rPr>
          <w:rFonts w:cstheme="minorHAnsi"/>
        </w:rPr>
        <w:t xml:space="preserve">apidly profile existing </w:t>
      </w:r>
      <w:r w:rsidR="005B7FCF">
        <w:rPr>
          <w:rFonts w:cstheme="minorHAnsi"/>
        </w:rPr>
        <w:t xml:space="preserve">care and </w:t>
      </w:r>
      <w:r w:rsidRPr="00AD57DB">
        <w:rPr>
          <w:rFonts w:cstheme="minorHAnsi"/>
        </w:rPr>
        <w:t xml:space="preserve">clinical skills, capabilities and identify key learning needs within clinical environments to develop in partnership with </w:t>
      </w:r>
      <w:r w:rsidR="00B04DD3" w:rsidRPr="00FF6DA3">
        <w:rPr>
          <w:rFonts w:cstheme="minorHAnsi"/>
        </w:rPr>
        <w:t>clinical practice</w:t>
      </w:r>
      <w:r w:rsidR="00B04DD3">
        <w:rPr>
          <w:rFonts w:cstheme="minorHAnsi"/>
        </w:rPr>
        <w:t xml:space="preserve"> </w:t>
      </w:r>
      <w:r w:rsidRPr="00AD57DB">
        <w:rPr>
          <w:rFonts w:cstheme="minorHAnsi"/>
        </w:rPr>
        <w:t xml:space="preserve">leaders, strategies for learning programs to address </w:t>
      </w:r>
      <w:r>
        <w:rPr>
          <w:rFonts w:cstheme="minorHAnsi"/>
        </w:rPr>
        <w:t>identified</w:t>
      </w:r>
      <w:r w:rsidRPr="00AD57DB">
        <w:rPr>
          <w:rFonts w:cstheme="minorHAnsi"/>
        </w:rPr>
        <w:t xml:space="preserve"> gaps</w:t>
      </w:r>
    </w:p>
    <w:p w14:paraId="34AAB2A9" w14:textId="0C4D69D1" w:rsidR="0069737A" w:rsidRDefault="0069737A" w:rsidP="00E57A9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69737A">
        <w:rPr>
          <w:rFonts w:cstheme="minorHAnsi"/>
        </w:rPr>
        <w:t>Contribut</w:t>
      </w:r>
      <w:r w:rsidR="00AA7D50">
        <w:rPr>
          <w:rFonts w:cstheme="minorHAnsi"/>
        </w:rPr>
        <w:t>ing</w:t>
      </w:r>
      <w:r w:rsidRPr="0069737A">
        <w:rPr>
          <w:rFonts w:cstheme="minorHAnsi"/>
        </w:rPr>
        <w:t xml:space="preserve"> to positive resident and client outcomes by providing advanced educational leadership in clinical and professional</w:t>
      </w:r>
      <w:r>
        <w:rPr>
          <w:rFonts w:cstheme="minorHAnsi"/>
        </w:rPr>
        <w:t xml:space="preserve"> </w:t>
      </w:r>
      <w:r w:rsidRPr="0069737A">
        <w:rPr>
          <w:rFonts w:cstheme="minorHAnsi"/>
        </w:rPr>
        <w:t>knowledge and skills within the context of practice development</w:t>
      </w:r>
      <w:r>
        <w:rPr>
          <w:rFonts w:cstheme="minorHAnsi"/>
        </w:rPr>
        <w:t>.</w:t>
      </w:r>
    </w:p>
    <w:p w14:paraId="5F260451" w14:textId="3343F372" w:rsidR="003571C6" w:rsidRPr="00AA7D50" w:rsidRDefault="00AA7D50" w:rsidP="006F328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D4C38">
        <w:rPr>
          <w:rFonts w:cstheme="minorHAnsi"/>
        </w:rPr>
        <w:t>Appl</w:t>
      </w:r>
      <w:r w:rsidR="003D4C38">
        <w:rPr>
          <w:rFonts w:cstheme="minorHAnsi"/>
        </w:rPr>
        <w:t>y</w:t>
      </w:r>
      <w:r w:rsidRPr="003D4C38">
        <w:rPr>
          <w:rFonts w:cstheme="minorHAnsi"/>
        </w:rPr>
        <w:t>ing</w:t>
      </w:r>
      <w:r w:rsidRPr="00AA7D50">
        <w:rPr>
          <w:rFonts w:cstheme="minorHAnsi"/>
        </w:rPr>
        <w:t xml:space="preserve"> advanced </w:t>
      </w:r>
      <w:r w:rsidR="00B04DD3" w:rsidRPr="00FF6DA3">
        <w:rPr>
          <w:rFonts w:cstheme="minorHAnsi"/>
        </w:rPr>
        <w:t>care and clinical</w:t>
      </w:r>
      <w:r w:rsidR="00B04DD3">
        <w:rPr>
          <w:rFonts w:cstheme="minorHAnsi"/>
        </w:rPr>
        <w:t xml:space="preserve"> </w:t>
      </w:r>
      <w:r w:rsidRPr="00AA7D50">
        <w:rPr>
          <w:rFonts w:cstheme="minorHAnsi"/>
        </w:rPr>
        <w:t>leadership skills to contribute to and promote a shared vision that leads practice change by promoting quality system improvement and utilise change management initiatives to meet relevant clinical governance, professional and practice</w:t>
      </w:r>
      <w:r>
        <w:rPr>
          <w:rFonts w:cstheme="minorHAnsi"/>
        </w:rPr>
        <w:t xml:space="preserve"> </w:t>
      </w:r>
      <w:r w:rsidRPr="00AA7D50">
        <w:rPr>
          <w:rFonts w:cstheme="minorHAnsi"/>
        </w:rPr>
        <w:t>standards.</w:t>
      </w:r>
    </w:p>
    <w:p w14:paraId="6D0339B8" w14:textId="39F0E876" w:rsidR="00531AC8" w:rsidRDefault="00AA7D50" w:rsidP="00AA7D50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</w:rPr>
        <w:t>Modelling</w:t>
      </w:r>
      <w:r w:rsidRPr="00AA7D50">
        <w:rPr>
          <w:rFonts w:cstheme="minorHAnsi"/>
        </w:rPr>
        <w:t xml:space="preserve"> active engagement in professional development </w:t>
      </w:r>
      <w:r>
        <w:rPr>
          <w:rFonts w:cstheme="minorHAnsi"/>
        </w:rPr>
        <w:t>and a culture of learning by supporting and mentoring colleagues.</w:t>
      </w:r>
    </w:p>
    <w:p w14:paraId="017A04F7" w14:textId="6645F3A2" w:rsidR="00A3433C" w:rsidRPr="00A3433C" w:rsidRDefault="00A3433C" w:rsidP="00A3433C">
      <w:pPr>
        <w:pStyle w:val="ListParagraph"/>
        <w:numPr>
          <w:ilvl w:val="0"/>
          <w:numId w:val="29"/>
        </w:numPr>
        <w:rPr>
          <w:rFonts w:cstheme="minorHAnsi"/>
        </w:rPr>
      </w:pPr>
      <w:r w:rsidRPr="00A3433C">
        <w:rPr>
          <w:rFonts w:cstheme="minorHAnsi"/>
        </w:rPr>
        <w:t>Providing training to meet obligations in relation to government, industry and organisational compliance requirements</w:t>
      </w:r>
    </w:p>
    <w:p w14:paraId="336619AE" w14:textId="77777777" w:rsidR="00AA7D50" w:rsidRPr="00F867FC" w:rsidRDefault="00AA7D50" w:rsidP="00AA7D50">
      <w:pPr>
        <w:pStyle w:val="ListParagraph"/>
        <w:ind w:left="360"/>
        <w:jc w:val="both"/>
        <w:rPr>
          <w:rFonts w:cstheme="minorHAnsi"/>
        </w:rPr>
      </w:pPr>
    </w:p>
    <w:p w14:paraId="2FCA3012" w14:textId="577CBB76" w:rsidR="00B15D3A" w:rsidRPr="00F867FC" w:rsidRDefault="00063ECE" w:rsidP="00B15D3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F867FC">
        <w:rPr>
          <w:rFonts w:cstheme="minorHAnsi"/>
          <w:b/>
          <w:u w:val="single"/>
        </w:rPr>
        <w:t xml:space="preserve">Services </w:t>
      </w:r>
      <w:r w:rsidR="00F53650">
        <w:rPr>
          <w:rFonts w:cstheme="minorHAnsi"/>
          <w:b/>
          <w:u w:val="single"/>
        </w:rPr>
        <w:t>p</w:t>
      </w:r>
      <w:r w:rsidR="009C5F93" w:rsidRPr="00F867FC">
        <w:rPr>
          <w:rFonts w:cstheme="minorHAnsi"/>
          <w:b/>
          <w:u w:val="single"/>
        </w:rPr>
        <w:t xml:space="preserve">artnership </w:t>
      </w:r>
      <w:r w:rsidR="00F53650">
        <w:rPr>
          <w:rFonts w:cstheme="minorHAnsi"/>
          <w:b/>
          <w:u w:val="single"/>
        </w:rPr>
        <w:t>for o</w:t>
      </w:r>
      <w:r w:rsidR="000111CC" w:rsidRPr="00F867FC">
        <w:rPr>
          <w:rFonts w:cstheme="minorHAnsi"/>
          <w:b/>
          <w:u w:val="single"/>
        </w:rPr>
        <w:t>perat</w:t>
      </w:r>
      <w:r w:rsidR="00F53650">
        <w:rPr>
          <w:rFonts w:cstheme="minorHAnsi"/>
          <w:b/>
          <w:u w:val="single"/>
        </w:rPr>
        <w:t>ional d</w:t>
      </w:r>
      <w:r w:rsidR="000111CC" w:rsidRPr="00F867FC">
        <w:rPr>
          <w:rFonts w:cstheme="minorHAnsi"/>
          <w:b/>
          <w:u w:val="single"/>
        </w:rPr>
        <w:t>elivery</w:t>
      </w:r>
    </w:p>
    <w:p w14:paraId="7AA2EF7D" w14:textId="77777777" w:rsidR="0029186E" w:rsidRPr="00F867FC" w:rsidRDefault="0029186E" w:rsidP="0029186E">
      <w:pPr>
        <w:spacing w:after="0" w:line="240" w:lineRule="auto"/>
        <w:jc w:val="both"/>
        <w:rPr>
          <w:rFonts w:cstheme="minorHAnsi"/>
        </w:rPr>
      </w:pPr>
    </w:p>
    <w:p w14:paraId="57CA7D27" w14:textId="56D7FA96" w:rsidR="00B15D3A" w:rsidRDefault="00B15D3A" w:rsidP="00B15D3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F867FC">
        <w:rPr>
          <w:rFonts w:cstheme="minorHAnsi"/>
        </w:rPr>
        <w:t>P</w:t>
      </w:r>
      <w:r w:rsidR="0026322D">
        <w:rPr>
          <w:rFonts w:cstheme="minorHAnsi"/>
        </w:rPr>
        <w:t xml:space="preserve">rovide the full suite of </w:t>
      </w:r>
      <w:r w:rsidR="003A6CA5" w:rsidRPr="00F867FC">
        <w:rPr>
          <w:rFonts w:cstheme="minorHAnsi"/>
        </w:rPr>
        <w:t xml:space="preserve">L&amp;D </w:t>
      </w:r>
      <w:r w:rsidRPr="00F867FC">
        <w:rPr>
          <w:rFonts w:cstheme="minorHAnsi"/>
        </w:rPr>
        <w:t xml:space="preserve">services </w:t>
      </w:r>
      <w:r w:rsidR="0026322D">
        <w:rPr>
          <w:rFonts w:cstheme="minorHAnsi"/>
        </w:rPr>
        <w:t xml:space="preserve">that are </w:t>
      </w:r>
      <w:r w:rsidR="0026322D" w:rsidRPr="00F867FC">
        <w:rPr>
          <w:rFonts w:cstheme="minorHAnsi"/>
        </w:rPr>
        <w:t xml:space="preserve">structured, integrated and operationally focussed </w:t>
      </w:r>
      <w:r w:rsidRPr="00F867FC">
        <w:rPr>
          <w:rFonts w:cstheme="minorHAnsi"/>
        </w:rPr>
        <w:t xml:space="preserve">to </w:t>
      </w:r>
      <w:r w:rsidR="002C7F7E" w:rsidRPr="00F867FC">
        <w:rPr>
          <w:rFonts w:cstheme="minorHAnsi"/>
        </w:rPr>
        <w:t>Service partners</w:t>
      </w:r>
      <w:r w:rsidR="0026322D" w:rsidRPr="0026322D">
        <w:rPr>
          <w:rFonts w:cstheme="minorHAnsi"/>
        </w:rPr>
        <w:t xml:space="preserve"> </w:t>
      </w:r>
      <w:r w:rsidR="004937E1">
        <w:rPr>
          <w:rFonts w:cstheme="minorHAnsi"/>
        </w:rPr>
        <w:t xml:space="preserve">in alignment </w:t>
      </w:r>
      <w:r w:rsidR="0026322D" w:rsidRPr="00F867FC">
        <w:rPr>
          <w:rFonts w:cstheme="minorHAnsi"/>
        </w:rPr>
        <w:t>with Anglicare’s</w:t>
      </w:r>
      <w:r w:rsidR="0026322D" w:rsidRPr="001963ED">
        <w:rPr>
          <w:rFonts w:cstheme="minorHAnsi"/>
          <w:b/>
        </w:rPr>
        <w:t xml:space="preserve"> </w:t>
      </w:r>
      <w:r w:rsidR="002D783D" w:rsidRPr="002D783D">
        <w:rPr>
          <w:rFonts w:cstheme="minorHAnsi"/>
        </w:rPr>
        <w:t xml:space="preserve">Strategic </w:t>
      </w:r>
      <w:r w:rsidR="001963ED" w:rsidRPr="002D783D">
        <w:rPr>
          <w:rFonts w:cstheme="minorHAnsi"/>
        </w:rPr>
        <w:t>Workforce Plan</w:t>
      </w:r>
      <w:r w:rsidR="002D783D" w:rsidRPr="002D783D">
        <w:rPr>
          <w:rFonts w:cstheme="minorHAnsi"/>
        </w:rPr>
        <w:t xml:space="preserve">, </w:t>
      </w:r>
      <w:r w:rsidR="004937E1" w:rsidRPr="002D783D">
        <w:rPr>
          <w:rFonts w:cstheme="minorHAnsi"/>
        </w:rPr>
        <w:t>Capability Strategy</w:t>
      </w:r>
      <w:r w:rsidR="004937E1">
        <w:rPr>
          <w:rFonts w:cstheme="minorHAnsi"/>
        </w:rPr>
        <w:t xml:space="preserve"> and </w:t>
      </w:r>
      <w:r w:rsidR="0026322D" w:rsidRPr="00F867FC">
        <w:rPr>
          <w:rFonts w:cstheme="minorHAnsi"/>
        </w:rPr>
        <w:t xml:space="preserve">best practice L&amp;D </w:t>
      </w:r>
      <w:r w:rsidR="00784FA2">
        <w:rPr>
          <w:rFonts w:cstheme="minorHAnsi"/>
        </w:rPr>
        <w:t xml:space="preserve">and Care </w:t>
      </w:r>
      <w:r w:rsidR="0026322D" w:rsidRPr="00F867FC">
        <w:rPr>
          <w:rFonts w:cstheme="minorHAnsi"/>
        </w:rPr>
        <w:t>framework</w:t>
      </w:r>
      <w:r w:rsidR="00784FA2">
        <w:rPr>
          <w:rFonts w:cstheme="minorHAnsi"/>
        </w:rPr>
        <w:t>s</w:t>
      </w:r>
      <w:r w:rsidR="00AA7D50">
        <w:rPr>
          <w:rFonts w:cstheme="minorHAnsi"/>
        </w:rPr>
        <w:t>.</w:t>
      </w:r>
    </w:p>
    <w:p w14:paraId="273037A2" w14:textId="2AB7B6DB" w:rsidR="00AA7D50" w:rsidRPr="00AA7D50" w:rsidRDefault="00AA7D50" w:rsidP="00977B88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AA7D50">
        <w:rPr>
          <w:rFonts w:cstheme="minorHAnsi"/>
        </w:rPr>
        <w:t>Collaborate with the GR</w:t>
      </w:r>
      <w:r w:rsidR="00A3433C">
        <w:rPr>
          <w:rFonts w:cstheme="minorHAnsi"/>
        </w:rPr>
        <w:t>A</w:t>
      </w:r>
      <w:r w:rsidRPr="00AA7D50">
        <w:rPr>
          <w:rFonts w:cstheme="minorHAnsi"/>
        </w:rPr>
        <w:t xml:space="preserve"> team to proactively support and lead innovation, quality initiatives, research activities and professional practice development to promote positive </w:t>
      </w:r>
      <w:r>
        <w:rPr>
          <w:rFonts w:cstheme="minorHAnsi"/>
        </w:rPr>
        <w:t>client</w:t>
      </w:r>
      <w:r w:rsidRPr="00AA7D50">
        <w:rPr>
          <w:rFonts w:cstheme="minorHAnsi"/>
        </w:rPr>
        <w:t xml:space="preserve"> outcomes.</w:t>
      </w:r>
    </w:p>
    <w:p w14:paraId="588211E3" w14:textId="147C7FE5" w:rsidR="009C5F93" w:rsidRPr="00A3433C" w:rsidRDefault="00063ECE" w:rsidP="00A343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F867FC">
        <w:t>Ensure</w:t>
      </w:r>
      <w:r w:rsidR="009C5F93" w:rsidRPr="00F867FC">
        <w:t xml:space="preserve"> regular reporting and insights </w:t>
      </w:r>
      <w:r w:rsidRPr="00F867FC">
        <w:t xml:space="preserve">for Services </w:t>
      </w:r>
      <w:r w:rsidR="009C5F93" w:rsidRPr="00F867FC">
        <w:t xml:space="preserve">to maintain high return on investment (ROI) and to ensure planned offerings meet </w:t>
      </w:r>
      <w:r w:rsidR="007D27A5" w:rsidRPr="00F867FC">
        <w:t>Service needs and objectives</w:t>
      </w:r>
      <w:r w:rsidR="0088732B" w:rsidRPr="00F867FC">
        <w:t xml:space="preserve"> with provision of feedback to </w:t>
      </w:r>
      <w:r w:rsidR="00784FA2">
        <w:t xml:space="preserve">the </w:t>
      </w:r>
      <w:r w:rsidR="000111CC" w:rsidRPr="00F867FC">
        <w:t xml:space="preserve">GRA </w:t>
      </w:r>
      <w:r w:rsidR="00784FA2">
        <w:t>Department</w:t>
      </w:r>
      <w:r w:rsidR="0088732B" w:rsidRPr="00F867FC">
        <w:t xml:space="preserve"> (for model review and standards application).</w:t>
      </w:r>
    </w:p>
    <w:p w14:paraId="10F52768" w14:textId="77777777" w:rsidR="009C5F93" w:rsidRPr="00F867FC" w:rsidRDefault="009C5F93" w:rsidP="0033319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F867FC">
        <w:rPr>
          <w:rFonts w:cstheme="minorHAnsi"/>
        </w:rPr>
        <w:t>Work with stakeholders to ensure the learning offering is well communicated and understood by leaders and employees</w:t>
      </w:r>
      <w:r w:rsidR="001963ED">
        <w:rPr>
          <w:rFonts w:cstheme="minorHAnsi"/>
        </w:rPr>
        <w:t>.</w:t>
      </w:r>
    </w:p>
    <w:p w14:paraId="27F57083" w14:textId="77777777" w:rsidR="0088732B" w:rsidRPr="00F867FC" w:rsidRDefault="0088732B" w:rsidP="003571C6">
      <w:pPr>
        <w:spacing w:after="0" w:line="240" w:lineRule="auto"/>
        <w:jc w:val="both"/>
        <w:rPr>
          <w:rFonts w:cstheme="minorHAnsi"/>
          <w:i/>
        </w:rPr>
      </w:pPr>
    </w:p>
    <w:p w14:paraId="0DEA201E" w14:textId="77777777" w:rsidR="003571C6" w:rsidRPr="00F867FC" w:rsidRDefault="003571C6" w:rsidP="003571C6">
      <w:pPr>
        <w:spacing w:after="0" w:line="240" w:lineRule="auto"/>
        <w:jc w:val="both"/>
        <w:rPr>
          <w:rFonts w:cstheme="minorHAnsi"/>
          <w:i/>
        </w:rPr>
      </w:pPr>
      <w:r w:rsidRPr="00F867FC">
        <w:rPr>
          <w:rFonts w:cstheme="minorHAnsi"/>
          <w:i/>
        </w:rPr>
        <w:t>NB. Other duties may be assigned from time to time.</w:t>
      </w:r>
    </w:p>
    <w:p w14:paraId="689C704A" w14:textId="77777777" w:rsidR="008F71E9" w:rsidRPr="00F867FC" w:rsidRDefault="008F71E9" w:rsidP="00B15D3A">
      <w:pPr>
        <w:spacing w:after="0" w:line="240" w:lineRule="auto"/>
        <w:jc w:val="both"/>
        <w:rPr>
          <w:rFonts w:cstheme="minorHAnsi"/>
        </w:rPr>
      </w:pPr>
    </w:p>
    <w:p w14:paraId="264A66C1" w14:textId="77777777" w:rsidR="005E0285" w:rsidRPr="00F867FC" w:rsidRDefault="005E0285" w:rsidP="005E0285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867FC">
        <w:rPr>
          <w:b/>
        </w:rPr>
        <w:t>Key Expected Outcomes</w:t>
      </w:r>
    </w:p>
    <w:p w14:paraId="0F54B622" w14:textId="77777777" w:rsidR="00533D60" w:rsidRDefault="00414B59" w:rsidP="00414B59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F867FC">
        <w:rPr>
          <w:rFonts w:cstheme="minorHAnsi"/>
        </w:rPr>
        <w:t xml:space="preserve">Delivery of </w:t>
      </w:r>
      <w:r w:rsidR="00D279ED">
        <w:rPr>
          <w:rFonts w:cstheme="minorHAnsi"/>
        </w:rPr>
        <w:t>structured front-line</w:t>
      </w:r>
      <w:r w:rsidR="00533D60">
        <w:rPr>
          <w:rFonts w:cstheme="minorHAnsi"/>
        </w:rPr>
        <w:t xml:space="preserve"> training and development </w:t>
      </w:r>
      <w:r w:rsidR="00D279ED">
        <w:rPr>
          <w:rFonts w:cstheme="minorHAnsi"/>
        </w:rPr>
        <w:t xml:space="preserve">(services, solutions, activities) </w:t>
      </w:r>
      <w:r w:rsidR="00533D60">
        <w:rPr>
          <w:rFonts w:cstheme="minorHAnsi"/>
        </w:rPr>
        <w:t>across the full suite of needs (mandatory to practice standards)</w:t>
      </w:r>
    </w:p>
    <w:p w14:paraId="3FDBFCC9" w14:textId="3B89B477" w:rsidR="00D279ED" w:rsidRDefault="00D279ED" w:rsidP="00414B59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High quality, structured program deliver</w:t>
      </w:r>
      <w:r w:rsidR="00B04DD3">
        <w:rPr>
          <w:rFonts w:cstheme="minorHAnsi"/>
        </w:rPr>
        <w:t>y to achieve sustainable on-the-</w:t>
      </w:r>
      <w:r>
        <w:rPr>
          <w:rFonts w:cstheme="minorHAnsi"/>
        </w:rPr>
        <w:t>job training</w:t>
      </w:r>
    </w:p>
    <w:p w14:paraId="757D7AF7" w14:textId="77777777" w:rsidR="00414B59" w:rsidRPr="00F867FC" w:rsidRDefault="00414B59" w:rsidP="00414B59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F867FC">
        <w:rPr>
          <w:rFonts w:cstheme="minorHAnsi"/>
        </w:rPr>
        <w:t>Effective development activity is undertaken in line with the integrated clinical and care governance system</w:t>
      </w:r>
    </w:p>
    <w:p w14:paraId="69E34EAA" w14:textId="77777777" w:rsidR="00414B59" w:rsidRPr="00F867FC" w:rsidRDefault="000F4552" w:rsidP="00414B59">
      <w:pPr>
        <w:pStyle w:val="ListParagraph"/>
        <w:numPr>
          <w:ilvl w:val="0"/>
          <w:numId w:val="25"/>
        </w:numPr>
        <w:jc w:val="both"/>
        <w:rPr>
          <w:rFonts w:cstheme="minorHAnsi"/>
        </w:rPr>
      </w:pPr>
      <w:r w:rsidRPr="00F867FC">
        <w:rPr>
          <w:rFonts w:cstheme="minorHAnsi"/>
        </w:rPr>
        <w:t>Delivery</w:t>
      </w:r>
      <w:r w:rsidR="00414B59" w:rsidRPr="00F867FC">
        <w:rPr>
          <w:rFonts w:cstheme="minorHAnsi"/>
        </w:rPr>
        <w:t xml:space="preserve"> supports best practice and policy for consistent application</w:t>
      </w:r>
    </w:p>
    <w:p w14:paraId="504DB031" w14:textId="77777777" w:rsidR="00414B59" w:rsidRPr="00F867FC" w:rsidRDefault="00414B59" w:rsidP="00414B59">
      <w:pPr>
        <w:pStyle w:val="ListParagraph"/>
        <w:numPr>
          <w:ilvl w:val="0"/>
          <w:numId w:val="25"/>
        </w:numPr>
        <w:rPr>
          <w:rFonts w:cstheme="minorHAnsi"/>
        </w:rPr>
      </w:pPr>
      <w:r w:rsidRPr="00F867FC">
        <w:rPr>
          <w:rFonts w:cstheme="minorHAnsi"/>
        </w:rPr>
        <w:lastRenderedPageBreak/>
        <w:t>Stakeholders report they are supported by best practice L&amp;D (systems, processes, practices) for role/task effectiveness</w:t>
      </w:r>
    </w:p>
    <w:p w14:paraId="4F6D18DF" w14:textId="77777777" w:rsidR="00414B59" w:rsidRPr="00F867FC" w:rsidRDefault="00414B59" w:rsidP="00414B59">
      <w:pPr>
        <w:pStyle w:val="ListParagraph"/>
        <w:numPr>
          <w:ilvl w:val="0"/>
          <w:numId w:val="25"/>
        </w:numPr>
        <w:rPr>
          <w:rFonts w:cstheme="minorHAnsi"/>
        </w:rPr>
      </w:pPr>
      <w:r w:rsidRPr="00F867FC">
        <w:rPr>
          <w:rFonts w:cstheme="minorHAnsi"/>
        </w:rPr>
        <w:t>L&amp;D service/s positively contributes to client outcomes, employee engagement</w:t>
      </w:r>
      <w:r w:rsidR="006D5D18" w:rsidRPr="00F867FC">
        <w:rPr>
          <w:rFonts w:cstheme="minorHAnsi"/>
        </w:rPr>
        <w:t>,</w:t>
      </w:r>
      <w:r w:rsidRPr="00F867FC">
        <w:rPr>
          <w:rFonts w:cstheme="minorHAnsi"/>
        </w:rPr>
        <w:t xml:space="preserve"> Service capability, and the </w:t>
      </w:r>
      <w:r w:rsidR="006D5D18" w:rsidRPr="00F867FC">
        <w:rPr>
          <w:rFonts w:cstheme="minorHAnsi"/>
        </w:rPr>
        <w:t>Anglicare</w:t>
      </w:r>
      <w:r w:rsidRPr="00F867FC">
        <w:rPr>
          <w:rFonts w:cstheme="minorHAnsi"/>
        </w:rPr>
        <w:t xml:space="preserve"> brand</w:t>
      </w:r>
    </w:p>
    <w:p w14:paraId="27601162" w14:textId="77777777" w:rsidR="00414B59" w:rsidRPr="00F867FC" w:rsidRDefault="00414B59" w:rsidP="00414B59">
      <w:pPr>
        <w:pStyle w:val="ListParagraph"/>
        <w:numPr>
          <w:ilvl w:val="0"/>
          <w:numId w:val="25"/>
        </w:numPr>
        <w:rPr>
          <w:rFonts w:cstheme="minorHAnsi"/>
        </w:rPr>
      </w:pPr>
      <w:r w:rsidRPr="00F867FC">
        <w:rPr>
          <w:rFonts w:cstheme="minorHAnsi"/>
        </w:rPr>
        <w:t>Productive collegiate relationships and internal partnerships.</w:t>
      </w:r>
    </w:p>
    <w:p w14:paraId="2B87A56F" w14:textId="77777777" w:rsidR="005E0285" w:rsidRPr="00F867FC" w:rsidRDefault="00EB6F68" w:rsidP="00B15D3A">
      <w:pPr>
        <w:pBdr>
          <w:top w:val="single" w:sz="8" w:space="1" w:color="133D8D"/>
          <w:left w:val="single" w:sz="8" w:space="0" w:color="133D8D"/>
          <w:bottom w:val="single" w:sz="8" w:space="1" w:color="133D8D"/>
          <w:right w:val="single" w:sz="8" w:space="4" w:color="133D8D"/>
        </w:pBdr>
        <w:rPr>
          <w:b/>
        </w:rPr>
      </w:pPr>
      <w:r w:rsidRPr="00F867FC">
        <w:rPr>
          <w:b/>
        </w:rPr>
        <w:t>Key Skills, Experience &amp; Qualifications</w:t>
      </w:r>
    </w:p>
    <w:p w14:paraId="44FB5A6D" w14:textId="05019831" w:rsidR="000851C7" w:rsidRDefault="00A3433C" w:rsidP="00490252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0851C7">
        <w:rPr>
          <w:rFonts w:cs="Arial"/>
          <w:noProof/>
          <w:szCs w:val="18"/>
        </w:rPr>
        <w:t>Extensive and relevant c</w:t>
      </w:r>
      <w:r w:rsidR="00784FA2" w:rsidRPr="000851C7">
        <w:rPr>
          <w:rFonts w:cs="Arial"/>
          <w:noProof/>
          <w:szCs w:val="18"/>
        </w:rPr>
        <w:t>linical</w:t>
      </w:r>
      <w:r w:rsidRPr="000851C7">
        <w:rPr>
          <w:rFonts w:cs="Arial"/>
          <w:noProof/>
          <w:szCs w:val="18"/>
        </w:rPr>
        <w:t>/</w:t>
      </w:r>
      <w:r w:rsidR="00784FA2" w:rsidRPr="000851C7">
        <w:rPr>
          <w:rFonts w:cs="Arial"/>
          <w:noProof/>
          <w:szCs w:val="18"/>
        </w:rPr>
        <w:t>education</w:t>
      </w:r>
      <w:r w:rsidR="003351C9" w:rsidRPr="000851C7">
        <w:rPr>
          <w:rFonts w:cs="Arial"/>
          <w:noProof/>
          <w:szCs w:val="18"/>
        </w:rPr>
        <w:t xml:space="preserve"> </w:t>
      </w:r>
      <w:r w:rsidR="00F5323A">
        <w:rPr>
          <w:rFonts w:cs="Arial"/>
          <w:noProof/>
          <w:szCs w:val="18"/>
        </w:rPr>
        <w:t xml:space="preserve">experience </w:t>
      </w:r>
      <w:r w:rsidRPr="000851C7">
        <w:rPr>
          <w:rFonts w:cs="Arial"/>
          <w:noProof/>
          <w:szCs w:val="18"/>
        </w:rPr>
        <w:t>relevant to the portf</w:t>
      </w:r>
      <w:r w:rsidR="000851C7" w:rsidRPr="000851C7">
        <w:rPr>
          <w:rFonts w:cs="Arial"/>
          <w:noProof/>
          <w:szCs w:val="18"/>
        </w:rPr>
        <w:t>olio</w:t>
      </w:r>
      <w:r w:rsidR="00F5323A" w:rsidRPr="00F5323A">
        <w:rPr>
          <w:rFonts w:cstheme="minorHAnsi"/>
        </w:rPr>
        <w:t xml:space="preserve"> </w:t>
      </w:r>
      <w:r w:rsidR="000851C7" w:rsidRPr="000851C7">
        <w:rPr>
          <w:rFonts w:cs="Arial"/>
          <w:noProof/>
          <w:szCs w:val="18"/>
        </w:rPr>
        <w:t>are</w:t>
      </w:r>
      <w:r w:rsidR="00F5323A">
        <w:rPr>
          <w:rFonts w:cs="Arial"/>
          <w:noProof/>
          <w:szCs w:val="18"/>
        </w:rPr>
        <w:t>a</w:t>
      </w:r>
      <w:r w:rsidR="000851C7" w:rsidRPr="000851C7">
        <w:rPr>
          <w:rFonts w:cs="Arial"/>
          <w:noProof/>
          <w:szCs w:val="18"/>
        </w:rPr>
        <w:t xml:space="preserve"> </w:t>
      </w:r>
      <w:r w:rsidR="00F5323A">
        <w:rPr>
          <w:rFonts w:cstheme="minorHAnsi"/>
        </w:rPr>
        <w:t>(</w:t>
      </w:r>
      <w:r w:rsidR="008C3BAA">
        <w:rPr>
          <w:rFonts w:cstheme="minorHAnsi"/>
        </w:rPr>
        <w:t>Aged Care</w:t>
      </w:r>
      <w:r w:rsidR="00F5323A">
        <w:rPr>
          <w:rFonts w:cs="Arial"/>
          <w:noProof/>
          <w:szCs w:val="18"/>
        </w:rPr>
        <w:t xml:space="preserve">) </w:t>
      </w:r>
      <w:r w:rsidR="00D279ED" w:rsidRPr="000851C7">
        <w:rPr>
          <w:rFonts w:cs="Arial"/>
          <w:noProof/>
          <w:szCs w:val="18"/>
        </w:rPr>
        <w:t xml:space="preserve">with a </w:t>
      </w:r>
      <w:r w:rsidR="006D5D18" w:rsidRPr="000851C7">
        <w:rPr>
          <w:rFonts w:cs="Arial"/>
          <w:noProof/>
          <w:szCs w:val="18"/>
        </w:rPr>
        <w:t>minimum of five years e</w:t>
      </w:r>
      <w:r w:rsidR="00414B59" w:rsidRPr="000851C7">
        <w:rPr>
          <w:rFonts w:cs="Arial"/>
          <w:noProof/>
          <w:szCs w:val="18"/>
        </w:rPr>
        <w:t xml:space="preserve">xperience </w:t>
      </w:r>
      <w:r w:rsidR="000851C7" w:rsidRPr="000851C7">
        <w:rPr>
          <w:rFonts w:cs="Arial"/>
          <w:noProof/>
          <w:szCs w:val="18"/>
        </w:rPr>
        <w:t>at an advanced practitioner level</w:t>
      </w:r>
    </w:p>
    <w:p w14:paraId="67B0E249" w14:textId="29A4F92B" w:rsidR="00F5323A" w:rsidRPr="00F867FC" w:rsidRDefault="00F5323A" w:rsidP="00F5323A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F867FC">
        <w:rPr>
          <w:rFonts w:cs="Arial"/>
          <w:noProof/>
          <w:szCs w:val="18"/>
        </w:rPr>
        <w:t xml:space="preserve">Extensive knowledge and experience in current clincial practice for older persons and application of aged care accreditation standards and </w:t>
      </w:r>
      <w:r w:rsidR="003D4C38">
        <w:rPr>
          <w:rFonts w:cs="Arial"/>
          <w:noProof/>
          <w:szCs w:val="18"/>
        </w:rPr>
        <w:t>legislation</w:t>
      </w:r>
    </w:p>
    <w:p w14:paraId="3FF3536B" w14:textId="77777777" w:rsidR="00533D60" w:rsidRPr="00F867FC" w:rsidRDefault="00533D60" w:rsidP="00533D60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 xml:space="preserve">Significant experience </w:t>
      </w:r>
      <w:r w:rsidRPr="00F867FC">
        <w:rPr>
          <w:rFonts w:cs="Arial"/>
          <w:noProof/>
          <w:szCs w:val="18"/>
        </w:rPr>
        <w:t>across the full suite of L&amp;D design and delivery methodologies including face-to-face, digital, experiental, simulations,</w:t>
      </w:r>
      <w:r>
        <w:rPr>
          <w:rFonts w:cs="Arial"/>
          <w:noProof/>
          <w:szCs w:val="18"/>
        </w:rPr>
        <w:t xml:space="preserve"> social learning, content curation,</w:t>
      </w:r>
      <w:r w:rsidRPr="00F867FC">
        <w:rPr>
          <w:rFonts w:cs="Arial"/>
          <w:noProof/>
          <w:szCs w:val="18"/>
        </w:rPr>
        <w:t xml:space="preserve"> blended and micro learning</w:t>
      </w:r>
    </w:p>
    <w:p w14:paraId="0288BF32" w14:textId="77777777" w:rsidR="00424D00" w:rsidRPr="00F867FC" w:rsidRDefault="00424D00" w:rsidP="00424D00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Highly experienced in t</w:t>
      </w:r>
      <w:r w:rsidRPr="00F867FC">
        <w:rPr>
          <w:rFonts w:cs="Arial"/>
          <w:noProof/>
          <w:szCs w:val="18"/>
        </w:rPr>
        <w:t xml:space="preserve">he implementation of capability </w:t>
      </w:r>
      <w:r>
        <w:rPr>
          <w:rFonts w:cs="Arial"/>
          <w:noProof/>
          <w:szCs w:val="18"/>
        </w:rPr>
        <w:t xml:space="preserve">and practice </w:t>
      </w:r>
      <w:r w:rsidRPr="00F867FC">
        <w:rPr>
          <w:rFonts w:cs="Arial"/>
          <w:noProof/>
          <w:szCs w:val="18"/>
        </w:rPr>
        <w:t>frameworks through L&amp;D activities</w:t>
      </w:r>
      <w:r w:rsidR="00D35162">
        <w:rPr>
          <w:rFonts w:cs="Arial"/>
          <w:noProof/>
          <w:szCs w:val="18"/>
        </w:rPr>
        <w:t xml:space="preserve"> in</w:t>
      </w:r>
      <w:r w:rsidR="00C71EC2">
        <w:rPr>
          <w:rFonts w:cs="Arial"/>
          <w:noProof/>
          <w:szCs w:val="18"/>
        </w:rPr>
        <w:t xml:space="preserve">cluding </w:t>
      </w:r>
      <w:r w:rsidR="00D35162">
        <w:rPr>
          <w:rFonts w:cs="Arial"/>
          <w:noProof/>
          <w:szCs w:val="18"/>
        </w:rPr>
        <w:t>evaluation methodologies</w:t>
      </w:r>
    </w:p>
    <w:p w14:paraId="619E4638" w14:textId="77777777" w:rsidR="00414B59" w:rsidRDefault="00152F93" w:rsidP="00414B5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F867FC">
        <w:rPr>
          <w:rFonts w:cs="Arial"/>
          <w:noProof/>
          <w:szCs w:val="18"/>
        </w:rPr>
        <w:t>Significant e</w:t>
      </w:r>
      <w:r w:rsidR="00414B59" w:rsidRPr="00F867FC">
        <w:rPr>
          <w:rFonts w:cs="Arial"/>
          <w:noProof/>
          <w:szCs w:val="18"/>
        </w:rPr>
        <w:t>xperience in advising, coaching and mentoring staff and managers in L&amp;D</w:t>
      </w:r>
    </w:p>
    <w:p w14:paraId="55AF8DAE" w14:textId="77777777" w:rsidR="00414B59" w:rsidRPr="00F867FC" w:rsidRDefault="00414B59" w:rsidP="00414B5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F867FC">
        <w:rPr>
          <w:rFonts w:cs="Arial"/>
          <w:noProof/>
          <w:szCs w:val="18"/>
        </w:rPr>
        <w:t>Able to develop highly effective working relationships by building credibility, respect and rapport with internal stakeholders and external networks</w:t>
      </w:r>
    </w:p>
    <w:p w14:paraId="558EA40A" w14:textId="77777777" w:rsidR="00414B59" w:rsidRPr="000851C7" w:rsidRDefault="00414B59" w:rsidP="00EC1095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0851C7">
        <w:rPr>
          <w:rFonts w:cs="Arial"/>
          <w:noProof/>
          <w:szCs w:val="18"/>
        </w:rPr>
        <w:t>A relevant tertiary qualification</w:t>
      </w:r>
      <w:r w:rsidR="00531AC8" w:rsidRPr="000851C7">
        <w:rPr>
          <w:rFonts w:cs="Arial"/>
          <w:noProof/>
          <w:szCs w:val="18"/>
        </w:rPr>
        <w:t xml:space="preserve"> (D</w:t>
      </w:r>
      <w:r w:rsidRPr="000851C7">
        <w:rPr>
          <w:rFonts w:cs="Arial"/>
          <w:noProof/>
          <w:szCs w:val="18"/>
        </w:rPr>
        <w:t>egree in Nursing)</w:t>
      </w:r>
      <w:r w:rsidR="00D279ED" w:rsidRPr="000851C7">
        <w:rPr>
          <w:rFonts w:cs="Arial"/>
          <w:noProof/>
          <w:szCs w:val="18"/>
        </w:rPr>
        <w:t xml:space="preserve"> and </w:t>
      </w:r>
      <w:r w:rsidR="002D783D" w:rsidRPr="000851C7">
        <w:rPr>
          <w:rFonts w:cs="Arial"/>
          <w:szCs w:val="18"/>
        </w:rPr>
        <w:t>current</w:t>
      </w:r>
      <w:r w:rsidRPr="000851C7">
        <w:rPr>
          <w:rFonts w:cs="Arial"/>
          <w:szCs w:val="18"/>
        </w:rPr>
        <w:t xml:space="preserve"> registration with AHPRA</w:t>
      </w:r>
    </w:p>
    <w:p w14:paraId="5C37EFF1" w14:textId="5CC8ABA6" w:rsidR="002D0C80" w:rsidRPr="000851C7" w:rsidRDefault="00472458" w:rsidP="00414B5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0851C7">
        <w:rPr>
          <w:rFonts w:cs="Arial"/>
          <w:szCs w:val="18"/>
        </w:rPr>
        <w:t>Post graduate qualifications and c</w:t>
      </w:r>
      <w:r w:rsidR="002D0C80" w:rsidRPr="000851C7">
        <w:rPr>
          <w:rFonts w:cs="Arial"/>
          <w:szCs w:val="18"/>
        </w:rPr>
        <w:t xml:space="preserve">linical specialisation in </w:t>
      </w:r>
      <w:r w:rsidRPr="000851C7">
        <w:rPr>
          <w:rFonts w:cs="Arial"/>
          <w:szCs w:val="18"/>
        </w:rPr>
        <w:t xml:space="preserve">either </w:t>
      </w:r>
      <w:r w:rsidR="002D0C80" w:rsidRPr="000851C7">
        <w:rPr>
          <w:rFonts w:cs="Arial"/>
          <w:szCs w:val="18"/>
        </w:rPr>
        <w:t>Dementia</w:t>
      </w:r>
      <w:r w:rsidRPr="000851C7">
        <w:rPr>
          <w:rFonts w:cs="Arial"/>
          <w:szCs w:val="18"/>
        </w:rPr>
        <w:t xml:space="preserve"> and/or Palliative Care</w:t>
      </w:r>
    </w:p>
    <w:p w14:paraId="68FCE85C" w14:textId="2EC86D02" w:rsidR="00531AC8" w:rsidRPr="000851C7" w:rsidRDefault="00531AC8" w:rsidP="00414B59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0851C7">
        <w:rPr>
          <w:rFonts w:cs="Arial"/>
          <w:szCs w:val="18"/>
        </w:rPr>
        <w:t xml:space="preserve">Post graduate qualifications in </w:t>
      </w:r>
      <w:r w:rsidR="002D0C80" w:rsidRPr="000851C7">
        <w:rPr>
          <w:rFonts w:cs="Arial"/>
          <w:szCs w:val="18"/>
        </w:rPr>
        <w:t>Adult E</w:t>
      </w:r>
      <w:r w:rsidR="00985902" w:rsidRPr="000851C7">
        <w:rPr>
          <w:rFonts w:cs="Arial"/>
          <w:szCs w:val="18"/>
        </w:rPr>
        <w:t>ducation</w:t>
      </w:r>
      <w:r w:rsidR="002D0C80" w:rsidRPr="000851C7">
        <w:rPr>
          <w:rFonts w:cs="Arial"/>
          <w:szCs w:val="18"/>
        </w:rPr>
        <w:t xml:space="preserve"> </w:t>
      </w:r>
      <w:r w:rsidRPr="000851C7">
        <w:rPr>
          <w:rFonts w:cs="Arial"/>
          <w:szCs w:val="18"/>
        </w:rPr>
        <w:t>or similar (desired)</w:t>
      </w:r>
    </w:p>
    <w:p w14:paraId="496AFC45" w14:textId="2B144269" w:rsidR="00531AC8" w:rsidRPr="000851C7" w:rsidRDefault="00531AC8" w:rsidP="00531AC8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0851C7">
        <w:rPr>
          <w:rFonts w:cs="Arial"/>
          <w:szCs w:val="18"/>
        </w:rPr>
        <w:t>Certificate IV in Training and Assessment (desired)</w:t>
      </w:r>
    </w:p>
    <w:p w14:paraId="285CBDA8" w14:textId="77777777" w:rsidR="00414B59" w:rsidRPr="00F867FC" w:rsidRDefault="00414B59" w:rsidP="00414B59">
      <w:pPr>
        <w:pStyle w:val="ListParagraph"/>
        <w:spacing w:after="0" w:line="240" w:lineRule="auto"/>
        <w:ind w:left="360"/>
        <w:rPr>
          <w:rFonts w:cs="Arial"/>
          <w:szCs w:val="18"/>
        </w:rPr>
      </w:pPr>
    </w:p>
    <w:p w14:paraId="08E4A0AA" w14:textId="77777777" w:rsidR="00EB6F68" w:rsidRPr="00F867FC" w:rsidRDefault="00EB6F68" w:rsidP="00EB6F68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867FC">
        <w:rPr>
          <w:b/>
        </w:rPr>
        <w:t>Delegation of Authority</w:t>
      </w:r>
    </w:p>
    <w:p w14:paraId="52C0A53A" w14:textId="5831B533" w:rsidR="00537FAC" w:rsidRPr="00472458" w:rsidRDefault="00B15D3A" w:rsidP="00537FAC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F867FC">
        <w:rPr>
          <w:rFonts w:cs="Arial"/>
          <w:noProof/>
          <w:szCs w:val="18"/>
        </w:rPr>
        <w:t>In accordance with the Delegations of Authority Policy.</w:t>
      </w:r>
    </w:p>
    <w:p w14:paraId="47C54E29" w14:textId="77777777" w:rsidR="00EB6F68" w:rsidRPr="00F867FC" w:rsidRDefault="00EB6F68" w:rsidP="00EB6F68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867FC">
        <w:rPr>
          <w:b/>
        </w:rPr>
        <w:t>Other Position Requirements</w:t>
      </w:r>
    </w:p>
    <w:p w14:paraId="5D894FC9" w14:textId="0556325F" w:rsidR="001B1D0A" w:rsidRPr="00F867FC" w:rsidRDefault="00F53650" w:rsidP="001B1D0A">
      <w:pPr>
        <w:pStyle w:val="ListParagraph"/>
        <w:numPr>
          <w:ilvl w:val="0"/>
          <w:numId w:val="25"/>
        </w:numPr>
        <w:rPr>
          <w:rFonts w:cs="Arial"/>
          <w:noProof/>
          <w:szCs w:val="18"/>
        </w:rPr>
      </w:pPr>
      <w:bookmarkStart w:id="0" w:name="_Hlk516996633"/>
      <w:r>
        <w:rPr>
          <w:rFonts w:cs="Arial"/>
          <w:noProof/>
          <w:szCs w:val="18"/>
        </w:rPr>
        <w:t>C</w:t>
      </w:r>
      <w:r w:rsidR="001B1D0A" w:rsidRPr="00F867FC">
        <w:rPr>
          <w:rFonts w:cs="Arial"/>
          <w:noProof/>
          <w:szCs w:val="18"/>
        </w:rPr>
        <w:t>urrent National Police Certificate</w:t>
      </w:r>
    </w:p>
    <w:p w14:paraId="77C6AF87" w14:textId="399A74B7" w:rsidR="001B1D0A" w:rsidRPr="00F53650" w:rsidRDefault="00F53650" w:rsidP="00F53650">
      <w:pPr>
        <w:pStyle w:val="ListParagraph"/>
        <w:numPr>
          <w:ilvl w:val="0"/>
          <w:numId w:val="25"/>
        </w:numPr>
        <w:spacing w:after="0" w:line="240" w:lineRule="auto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Current Queensland Driver</w:t>
      </w:r>
      <w:r w:rsidR="001B1D0A" w:rsidRPr="00F867FC">
        <w:rPr>
          <w:rFonts w:cs="Arial"/>
          <w:noProof/>
          <w:szCs w:val="18"/>
        </w:rPr>
        <w:t xml:space="preserve"> Licence with own reliable vehicle </w:t>
      </w:r>
      <w:r>
        <w:rPr>
          <w:rFonts w:cs="Arial"/>
          <w:noProof/>
          <w:szCs w:val="18"/>
        </w:rPr>
        <w:t>and a</w:t>
      </w:r>
      <w:r w:rsidRPr="00F867FC">
        <w:rPr>
          <w:rFonts w:cs="Arial"/>
          <w:noProof/>
          <w:szCs w:val="18"/>
        </w:rPr>
        <w:t>bility to travel as required to designated service delivery areas across Queensland</w:t>
      </w:r>
    </w:p>
    <w:p w14:paraId="07529A2E" w14:textId="4473E327" w:rsidR="00F53650" w:rsidRPr="00F53650" w:rsidRDefault="001B1D0A" w:rsidP="00F53650">
      <w:pPr>
        <w:pStyle w:val="ListParagraph"/>
        <w:numPr>
          <w:ilvl w:val="0"/>
          <w:numId w:val="25"/>
        </w:numPr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>Current Blue Card</w:t>
      </w:r>
      <w:r w:rsidR="00F53650">
        <w:rPr>
          <w:rFonts w:cs="Arial"/>
          <w:noProof/>
          <w:szCs w:val="18"/>
        </w:rPr>
        <w:t xml:space="preserve"> (Working with Children) with</w:t>
      </w:r>
      <w:r>
        <w:rPr>
          <w:rFonts w:cs="Arial"/>
          <w:noProof/>
          <w:szCs w:val="18"/>
        </w:rPr>
        <w:t xml:space="preserve"> Yellow Card</w:t>
      </w:r>
      <w:r w:rsidR="00F53650">
        <w:rPr>
          <w:rFonts w:cs="Arial"/>
          <w:noProof/>
          <w:szCs w:val="18"/>
        </w:rPr>
        <w:t xml:space="preserve"> exemption</w:t>
      </w:r>
      <w:bookmarkStart w:id="1" w:name="_GoBack"/>
      <w:bookmarkEnd w:id="0"/>
      <w:bookmarkEnd w:id="1"/>
    </w:p>
    <w:sectPr w:rsidR="00F53650" w:rsidRPr="00F53650" w:rsidSect="00837250">
      <w:headerReference w:type="default" r:id="rId8"/>
      <w:footerReference w:type="default" r:id="rId9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88B90" w14:textId="77777777" w:rsidR="005B3147" w:rsidRDefault="005B3147" w:rsidP="00D13A83">
      <w:pPr>
        <w:spacing w:after="0" w:line="240" w:lineRule="auto"/>
      </w:pPr>
      <w:r>
        <w:separator/>
      </w:r>
    </w:p>
  </w:endnote>
  <w:endnote w:type="continuationSeparator" w:id="0">
    <w:p w14:paraId="4FA1FBCD" w14:textId="77777777" w:rsidR="005B3147" w:rsidRDefault="005B3147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14:paraId="34884C59" w14:textId="77777777" w:rsidTr="00EE675D">
      <w:tc>
        <w:tcPr>
          <w:tcW w:w="4508" w:type="dxa"/>
        </w:tcPr>
        <w:p w14:paraId="23A21F52" w14:textId="77777777"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8C4783">
            <w:rPr>
              <w:rFonts w:ascii="Arial" w:hAnsi="Arial" w:cs="Arial"/>
              <w:sz w:val="18"/>
              <w:szCs w:val="18"/>
            </w:rPr>
            <w:t>June</w:t>
          </w:r>
          <w:r w:rsidR="005E0285">
            <w:rPr>
              <w:rFonts w:ascii="Arial" w:hAnsi="Arial" w:cs="Arial"/>
              <w:sz w:val="18"/>
              <w:szCs w:val="18"/>
            </w:rPr>
            <w:t xml:space="preserve"> </w:t>
          </w:r>
          <w:r w:rsidR="00B32E8A">
            <w:rPr>
              <w:rFonts w:ascii="Arial" w:hAnsi="Arial" w:cs="Arial"/>
              <w:sz w:val="18"/>
              <w:szCs w:val="18"/>
            </w:rPr>
            <w:t>2018</w:t>
          </w:r>
        </w:p>
        <w:p w14:paraId="1D98486F" w14:textId="77777777" w:rsidR="00993021" w:rsidRPr="00EE675D" w:rsidRDefault="00993021" w:rsidP="008C4783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8C4783">
            <w:rPr>
              <w:rFonts w:ascii="Arial" w:hAnsi="Arial" w:cs="Arial"/>
              <w:sz w:val="18"/>
              <w:szCs w:val="18"/>
            </w:rPr>
            <w:t>June</w:t>
          </w:r>
          <w:r w:rsidR="005E0285">
            <w:rPr>
              <w:rFonts w:ascii="Arial" w:hAnsi="Arial" w:cs="Arial"/>
              <w:sz w:val="18"/>
              <w:szCs w:val="18"/>
            </w:rPr>
            <w:t xml:space="preserve"> </w:t>
          </w:r>
          <w:r w:rsidR="00B32E8A">
            <w:rPr>
              <w:rFonts w:ascii="Arial" w:hAnsi="Arial" w:cs="Arial"/>
              <w:sz w:val="18"/>
              <w:szCs w:val="18"/>
            </w:rPr>
            <w:t>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61F9447" w14:textId="77777777"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53650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53650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BE5C32D" w14:textId="77777777"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48608" w14:textId="77777777" w:rsidR="005B3147" w:rsidRDefault="005B3147" w:rsidP="00D13A83">
      <w:pPr>
        <w:spacing w:after="0" w:line="240" w:lineRule="auto"/>
      </w:pPr>
      <w:r>
        <w:separator/>
      </w:r>
    </w:p>
  </w:footnote>
  <w:footnote w:type="continuationSeparator" w:id="0">
    <w:p w14:paraId="1006A1A4" w14:textId="77777777" w:rsidR="005B3147" w:rsidRDefault="005B3147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4558" w14:textId="3D19A220"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28BD9220" wp14:editId="0B9B8D60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8ED"/>
    <w:multiLevelType w:val="hybridMultilevel"/>
    <w:tmpl w:val="2D48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EB8"/>
    <w:multiLevelType w:val="hybridMultilevel"/>
    <w:tmpl w:val="E84C3B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F7D33"/>
    <w:multiLevelType w:val="hybridMultilevel"/>
    <w:tmpl w:val="A896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7FA6"/>
    <w:multiLevelType w:val="multilevel"/>
    <w:tmpl w:val="8F28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 w15:restartNumberingAfterBreak="0">
    <w:nsid w:val="19B16454"/>
    <w:multiLevelType w:val="hybridMultilevel"/>
    <w:tmpl w:val="156AF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A370D"/>
    <w:multiLevelType w:val="hybridMultilevel"/>
    <w:tmpl w:val="5F00F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652B9E"/>
    <w:multiLevelType w:val="hybridMultilevel"/>
    <w:tmpl w:val="012E8A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957A5"/>
    <w:multiLevelType w:val="hybridMultilevel"/>
    <w:tmpl w:val="5FBAE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D3054"/>
    <w:multiLevelType w:val="hybridMultilevel"/>
    <w:tmpl w:val="7C6EFC96"/>
    <w:lvl w:ilvl="0" w:tplc="0C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27DA6"/>
    <w:multiLevelType w:val="hybridMultilevel"/>
    <w:tmpl w:val="4D16B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7900C3"/>
    <w:multiLevelType w:val="hybridMultilevel"/>
    <w:tmpl w:val="DCE86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43D08"/>
    <w:multiLevelType w:val="hybridMultilevel"/>
    <w:tmpl w:val="3AE27F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A87AF6"/>
    <w:multiLevelType w:val="hybridMultilevel"/>
    <w:tmpl w:val="D5CA21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958D4"/>
    <w:multiLevelType w:val="hybridMultilevel"/>
    <w:tmpl w:val="09D69C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7647D"/>
    <w:multiLevelType w:val="hybridMultilevel"/>
    <w:tmpl w:val="43D260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AD1F46"/>
    <w:multiLevelType w:val="multilevel"/>
    <w:tmpl w:val="F58A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E3D19"/>
    <w:multiLevelType w:val="hybridMultilevel"/>
    <w:tmpl w:val="B93A68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66482D"/>
    <w:multiLevelType w:val="hybridMultilevel"/>
    <w:tmpl w:val="76EE1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91816"/>
    <w:multiLevelType w:val="hybridMultilevel"/>
    <w:tmpl w:val="6122C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"/>
  </w:num>
  <w:num w:numId="4">
    <w:abstractNumId w:val="32"/>
  </w:num>
  <w:num w:numId="5">
    <w:abstractNumId w:val="33"/>
  </w:num>
  <w:num w:numId="6">
    <w:abstractNumId w:val="35"/>
  </w:num>
  <w:num w:numId="7">
    <w:abstractNumId w:val="14"/>
  </w:num>
  <w:num w:numId="8">
    <w:abstractNumId w:val="6"/>
  </w:num>
  <w:num w:numId="9">
    <w:abstractNumId w:val="17"/>
  </w:num>
  <w:num w:numId="10">
    <w:abstractNumId w:val="15"/>
  </w:num>
  <w:num w:numId="11">
    <w:abstractNumId w:val="19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18"/>
  </w:num>
  <w:num w:numId="17">
    <w:abstractNumId w:val="21"/>
  </w:num>
  <w:num w:numId="18">
    <w:abstractNumId w:val="34"/>
  </w:num>
  <w:num w:numId="19">
    <w:abstractNumId w:val="22"/>
  </w:num>
  <w:num w:numId="20">
    <w:abstractNumId w:val="0"/>
  </w:num>
  <w:num w:numId="21">
    <w:abstractNumId w:val="30"/>
  </w:num>
  <w:num w:numId="22">
    <w:abstractNumId w:val="10"/>
  </w:num>
  <w:num w:numId="23">
    <w:abstractNumId w:val="23"/>
  </w:num>
  <w:num w:numId="24">
    <w:abstractNumId w:val="11"/>
  </w:num>
  <w:num w:numId="25">
    <w:abstractNumId w:val="12"/>
  </w:num>
  <w:num w:numId="26">
    <w:abstractNumId w:val="20"/>
  </w:num>
  <w:num w:numId="27">
    <w:abstractNumId w:val="28"/>
  </w:num>
  <w:num w:numId="28">
    <w:abstractNumId w:val="29"/>
  </w:num>
  <w:num w:numId="29">
    <w:abstractNumId w:val="26"/>
  </w:num>
  <w:num w:numId="30">
    <w:abstractNumId w:val="25"/>
  </w:num>
  <w:num w:numId="31">
    <w:abstractNumId w:val="27"/>
  </w:num>
  <w:num w:numId="32">
    <w:abstractNumId w:val="4"/>
  </w:num>
  <w:num w:numId="33">
    <w:abstractNumId w:val="3"/>
  </w:num>
  <w:num w:numId="34">
    <w:abstractNumId w:val="13"/>
  </w:num>
  <w:num w:numId="35">
    <w:abstractNumId w:val="1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078A1"/>
    <w:rsid w:val="000111CC"/>
    <w:rsid w:val="000145F4"/>
    <w:rsid w:val="00031750"/>
    <w:rsid w:val="000406D6"/>
    <w:rsid w:val="00050902"/>
    <w:rsid w:val="00063ECE"/>
    <w:rsid w:val="000744C6"/>
    <w:rsid w:val="000851C7"/>
    <w:rsid w:val="00091BB5"/>
    <w:rsid w:val="00095425"/>
    <w:rsid w:val="000A019C"/>
    <w:rsid w:val="000A3822"/>
    <w:rsid w:val="000A6458"/>
    <w:rsid w:val="000C4C2D"/>
    <w:rsid w:val="000D0C3B"/>
    <w:rsid w:val="000D454D"/>
    <w:rsid w:val="000E7EE6"/>
    <w:rsid w:val="000F4552"/>
    <w:rsid w:val="000F7D33"/>
    <w:rsid w:val="0011252E"/>
    <w:rsid w:val="001144FD"/>
    <w:rsid w:val="001155E2"/>
    <w:rsid w:val="00120B62"/>
    <w:rsid w:val="00123BA7"/>
    <w:rsid w:val="00125B47"/>
    <w:rsid w:val="00152F93"/>
    <w:rsid w:val="0017720A"/>
    <w:rsid w:val="001963ED"/>
    <w:rsid w:val="001B1D0A"/>
    <w:rsid w:val="001D4358"/>
    <w:rsid w:val="001D5607"/>
    <w:rsid w:val="001F5804"/>
    <w:rsid w:val="00201A18"/>
    <w:rsid w:val="002117F0"/>
    <w:rsid w:val="00241664"/>
    <w:rsid w:val="002462EF"/>
    <w:rsid w:val="0026322D"/>
    <w:rsid w:val="00277304"/>
    <w:rsid w:val="0029186E"/>
    <w:rsid w:val="002941D8"/>
    <w:rsid w:val="002A6B7D"/>
    <w:rsid w:val="002B06BF"/>
    <w:rsid w:val="002C07BE"/>
    <w:rsid w:val="002C7F7E"/>
    <w:rsid w:val="002D0C80"/>
    <w:rsid w:val="002D783D"/>
    <w:rsid w:val="0031082E"/>
    <w:rsid w:val="003113E4"/>
    <w:rsid w:val="003224E5"/>
    <w:rsid w:val="0033319F"/>
    <w:rsid w:val="003351C9"/>
    <w:rsid w:val="00336A4E"/>
    <w:rsid w:val="00345E57"/>
    <w:rsid w:val="00347CB0"/>
    <w:rsid w:val="00350C26"/>
    <w:rsid w:val="00350C50"/>
    <w:rsid w:val="003571C6"/>
    <w:rsid w:val="00370701"/>
    <w:rsid w:val="003837CC"/>
    <w:rsid w:val="003856F1"/>
    <w:rsid w:val="0039545D"/>
    <w:rsid w:val="003A6CA5"/>
    <w:rsid w:val="003C4B20"/>
    <w:rsid w:val="003C592A"/>
    <w:rsid w:val="003D4C38"/>
    <w:rsid w:val="003E0471"/>
    <w:rsid w:val="003E2F87"/>
    <w:rsid w:val="003F1AB5"/>
    <w:rsid w:val="003F5B5E"/>
    <w:rsid w:val="0041114A"/>
    <w:rsid w:val="00414B59"/>
    <w:rsid w:val="00421E5D"/>
    <w:rsid w:val="00424D00"/>
    <w:rsid w:val="00431ED9"/>
    <w:rsid w:val="00450D51"/>
    <w:rsid w:val="00455D85"/>
    <w:rsid w:val="00464C61"/>
    <w:rsid w:val="00472458"/>
    <w:rsid w:val="004757B7"/>
    <w:rsid w:val="004815B2"/>
    <w:rsid w:val="004937E1"/>
    <w:rsid w:val="004A798E"/>
    <w:rsid w:val="004B5BB2"/>
    <w:rsid w:val="004C0ED4"/>
    <w:rsid w:val="004E032D"/>
    <w:rsid w:val="004F1DCB"/>
    <w:rsid w:val="0051284A"/>
    <w:rsid w:val="00531AC8"/>
    <w:rsid w:val="00533D60"/>
    <w:rsid w:val="00537FAC"/>
    <w:rsid w:val="0054336C"/>
    <w:rsid w:val="0054483C"/>
    <w:rsid w:val="00550293"/>
    <w:rsid w:val="00556E71"/>
    <w:rsid w:val="005630A9"/>
    <w:rsid w:val="00567B6B"/>
    <w:rsid w:val="00591679"/>
    <w:rsid w:val="005B3147"/>
    <w:rsid w:val="005B7FCF"/>
    <w:rsid w:val="005C3804"/>
    <w:rsid w:val="005D4158"/>
    <w:rsid w:val="005E0285"/>
    <w:rsid w:val="005E2226"/>
    <w:rsid w:val="00607EB6"/>
    <w:rsid w:val="0063100C"/>
    <w:rsid w:val="00652B90"/>
    <w:rsid w:val="00666DA7"/>
    <w:rsid w:val="00684BA5"/>
    <w:rsid w:val="0068652D"/>
    <w:rsid w:val="00687CE9"/>
    <w:rsid w:val="0069737A"/>
    <w:rsid w:val="006A4E12"/>
    <w:rsid w:val="006B7DD0"/>
    <w:rsid w:val="006D5D18"/>
    <w:rsid w:val="006E0D66"/>
    <w:rsid w:val="006E1E54"/>
    <w:rsid w:val="00716252"/>
    <w:rsid w:val="00741DA9"/>
    <w:rsid w:val="00747524"/>
    <w:rsid w:val="007717BA"/>
    <w:rsid w:val="00777945"/>
    <w:rsid w:val="00781B55"/>
    <w:rsid w:val="007843E3"/>
    <w:rsid w:val="00784FA2"/>
    <w:rsid w:val="00793D85"/>
    <w:rsid w:val="00797B4A"/>
    <w:rsid w:val="007A1B50"/>
    <w:rsid w:val="007B2467"/>
    <w:rsid w:val="007C1A30"/>
    <w:rsid w:val="007D27A5"/>
    <w:rsid w:val="007D66FB"/>
    <w:rsid w:val="00800AA1"/>
    <w:rsid w:val="008139A5"/>
    <w:rsid w:val="008139B6"/>
    <w:rsid w:val="0083109A"/>
    <w:rsid w:val="00837250"/>
    <w:rsid w:val="00837F17"/>
    <w:rsid w:val="0085383B"/>
    <w:rsid w:val="0085636B"/>
    <w:rsid w:val="0086061A"/>
    <w:rsid w:val="00872BE5"/>
    <w:rsid w:val="0088732B"/>
    <w:rsid w:val="008C3BAA"/>
    <w:rsid w:val="008C4783"/>
    <w:rsid w:val="008D32BE"/>
    <w:rsid w:val="008F0F70"/>
    <w:rsid w:val="008F4313"/>
    <w:rsid w:val="008F71E9"/>
    <w:rsid w:val="008F7FBF"/>
    <w:rsid w:val="00907E7C"/>
    <w:rsid w:val="00916691"/>
    <w:rsid w:val="00934F14"/>
    <w:rsid w:val="00936212"/>
    <w:rsid w:val="00937302"/>
    <w:rsid w:val="009420D4"/>
    <w:rsid w:val="00962480"/>
    <w:rsid w:val="00985902"/>
    <w:rsid w:val="009866ED"/>
    <w:rsid w:val="00993021"/>
    <w:rsid w:val="009A57FE"/>
    <w:rsid w:val="009C5F93"/>
    <w:rsid w:val="009D4788"/>
    <w:rsid w:val="009D563D"/>
    <w:rsid w:val="009E53C3"/>
    <w:rsid w:val="009F216A"/>
    <w:rsid w:val="00A11F81"/>
    <w:rsid w:val="00A3433C"/>
    <w:rsid w:val="00A51A05"/>
    <w:rsid w:val="00A66C78"/>
    <w:rsid w:val="00AA7D50"/>
    <w:rsid w:val="00AC385A"/>
    <w:rsid w:val="00AD23A0"/>
    <w:rsid w:val="00AD57DB"/>
    <w:rsid w:val="00AE6D2A"/>
    <w:rsid w:val="00B04DD3"/>
    <w:rsid w:val="00B07FD6"/>
    <w:rsid w:val="00B15D3A"/>
    <w:rsid w:val="00B3182B"/>
    <w:rsid w:val="00B32E8A"/>
    <w:rsid w:val="00B443E1"/>
    <w:rsid w:val="00B506F1"/>
    <w:rsid w:val="00B53D88"/>
    <w:rsid w:val="00B64FA4"/>
    <w:rsid w:val="00B76C7F"/>
    <w:rsid w:val="00B85594"/>
    <w:rsid w:val="00B86DB4"/>
    <w:rsid w:val="00B944D4"/>
    <w:rsid w:val="00B97B12"/>
    <w:rsid w:val="00BB3904"/>
    <w:rsid w:val="00BC4819"/>
    <w:rsid w:val="00C14EED"/>
    <w:rsid w:val="00C25B7C"/>
    <w:rsid w:val="00C4634A"/>
    <w:rsid w:val="00C51497"/>
    <w:rsid w:val="00C63A14"/>
    <w:rsid w:val="00C6702D"/>
    <w:rsid w:val="00C71EC2"/>
    <w:rsid w:val="00C972B7"/>
    <w:rsid w:val="00C97D96"/>
    <w:rsid w:val="00CA2BF2"/>
    <w:rsid w:val="00CA64B1"/>
    <w:rsid w:val="00CC2DF8"/>
    <w:rsid w:val="00CC5F61"/>
    <w:rsid w:val="00CD3DE0"/>
    <w:rsid w:val="00CE1F81"/>
    <w:rsid w:val="00CF3B44"/>
    <w:rsid w:val="00D13A83"/>
    <w:rsid w:val="00D279ED"/>
    <w:rsid w:val="00D35162"/>
    <w:rsid w:val="00D368BA"/>
    <w:rsid w:val="00D60273"/>
    <w:rsid w:val="00D60A41"/>
    <w:rsid w:val="00D92371"/>
    <w:rsid w:val="00D96CBC"/>
    <w:rsid w:val="00DA2456"/>
    <w:rsid w:val="00DB2711"/>
    <w:rsid w:val="00DC7216"/>
    <w:rsid w:val="00DD7024"/>
    <w:rsid w:val="00DD7F1C"/>
    <w:rsid w:val="00E15279"/>
    <w:rsid w:val="00E34F56"/>
    <w:rsid w:val="00E37CA6"/>
    <w:rsid w:val="00E61A98"/>
    <w:rsid w:val="00E6250A"/>
    <w:rsid w:val="00E86699"/>
    <w:rsid w:val="00E90D32"/>
    <w:rsid w:val="00E96941"/>
    <w:rsid w:val="00EA000C"/>
    <w:rsid w:val="00EA2B64"/>
    <w:rsid w:val="00EA6857"/>
    <w:rsid w:val="00EB6F68"/>
    <w:rsid w:val="00EC66E3"/>
    <w:rsid w:val="00ED0599"/>
    <w:rsid w:val="00ED4F36"/>
    <w:rsid w:val="00EE675D"/>
    <w:rsid w:val="00EF0625"/>
    <w:rsid w:val="00EF3F46"/>
    <w:rsid w:val="00F0153A"/>
    <w:rsid w:val="00F1685A"/>
    <w:rsid w:val="00F42C8F"/>
    <w:rsid w:val="00F5323A"/>
    <w:rsid w:val="00F53650"/>
    <w:rsid w:val="00F575D2"/>
    <w:rsid w:val="00F57F2B"/>
    <w:rsid w:val="00F6546B"/>
    <w:rsid w:val="00F70CA2"/>
    <w:rsid w:val="00F867FC"/>
    <w:rsid w:val="00FA1B24"/>
    <w:rsid w:val="00FB33AE"/>
    <w:rsid w:val="00FB4003"/>
    <w:rsid w:val="00FB5C78"/>
    <w:rsid w:val="00FC58C5"/>
    <w:rsid w:val="00FD1208"/>
    <w:rsid w:val="00FE10DD"/>
    <w:rsid w:val="00FF4CB1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3EF80F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customStyle="1" w:styleId="Default">
    <w:name w:val="Default"/>
    <w:rsid w:val="00347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2B73-5E4C-4FEE-AF1E-0E929C4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Bakagiannis</dc:creator>
  <cp:keywords/>
  <dc:description/>
  <cp:lastModifiedBy>Davina Wenzlick</cp:lastModifiedBy>
  <cp:revision>2</cp:revision>
  <cp:lastPrinted>2018-10-01T23:20:00Z</cp:lastPrinted>
  <dcterms:created xsi:type="dcterms:W3CDTF">2018-11-14T22:20:00Z</dcterms:created>
  <dcterms:modified xsi:type="dcterms:W3CDTF">2018-11-14T22:20:00Z</dcterms:modified>
</cp:coreProperties>
</file>