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280600" w:rsidP="002D5BAF">
      <w:r>
        <w:rPr>
          <w:noProof/>
          <w:lang w:eastAsia="en-AU"/>
        </w:rPr>
        <w:drawing>
          <wp:anchor distT="0" distB="0" distL="114300" distR="114300" simplePos="0" relativeHeight="251661312" behindDoc="1" locked="0" layoutInCell="1" allowOverlap="1" wp14:anchorId="4AEDE42C" wp14:editId="23575A5B">
            <wp:simplePos x="0" y="0"/>
            <wp:positionH relativeFrom="column">
              <wp:posOffset>-647700</wp:posOffset>
            </wp:positionH>
            <wp:positionV relativeFrom="paragraph">
              <wp:posOffset>-904875</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A31568" w:rsidRPr="004D7B27" w:rsidRDefault="00A31568" w:rsidP="002D5BAF">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2D5BAF" w:rsidRPr="00753CC8" w:rsidRDefault="002D5BAF" w:rsidP="002D5BAF">
            <w:pPr>
              <w:spacing w:line="276" w:lineRule="auto"/>
              <w:jc w:val="both"/>
              <w:rPr>
                <w:rFonts w:ascii="Calibri" w:eastAsia="Calibri" w:hAnsi="Calibri" w:cs="Arial"/>
                <w:b/>
                <w:sz w:val="20"/>
                <w:szCs w:val="20"/>
              </w:rPr>
            </w:pPr>
            <w:r>
              <w:rPr>
                <w:rFonts w:ascii="Calibri" w:eastAsia="Calibri" w:hAnsi="Calibri" w:cs="Arial"/>
                <w:b/>
                <w:sz w:val="20"/>
                <w:szCs w:val="20"/>
              </w:rPr>
              <w:t xml:space="preserve">Finance </w:t>
            </w:r>
            <w:r w:rsidR="00BB0107">
              <w:rPr>
                <w:rFonts w:ascii="Calibri" w:eastAsia="Calibri" w:hAnsi="Calibri" w:cs="Arial"/>
                <w:b/>
                <w:sz w:val="20"/>
                <w:szCs w:val="20"/>
              </w:rPr>
              <w:t>Officer</w:t>
            </w:r>
          </w:p>
        </w:tc>
      </w:tr>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2D5BAF" w:rsidRPr="009B5FE8" w:rsidRDefault="002D5BAF" w:rsidP="002D5BAF">
            <w:pPr>
              <w:spacing w:line="276" w:lineRule="auto"/>
              <w:jc w:val="both"/>
              <w:rPr>
                <w:rFonts w:ascii="Calibri" w:eastAsia="Calibri" w:hAnsi="Calibri" w:cs="Arial"/>
                <w:b/>
                <w:sz w:val="20"/>
                <w:szCs w:val="20"/>
              </w:rPr>
            </w:pPr>
            <w:r>
              <w:rPr>
                <w:rFonts w:ascii="Calibri" w:eastAsia="Calibri" w:hAnsi="Calibri" w:cs="Arial"/>
                <w:b/>
                <w:sz w:val="20"/>
                <w:szCs w:val="20"/>
              </w:rPr>
              <w:t>School Officer</w:t>
            </w:r>
          </w:p>
        </w:tc>
      </w:tr>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2D5BAF" w:rsidRPr="009B5FE8" w:rsidRDefault="00553484" w:rsidP="002D5BAF">
            <w:pPr>
              <w:spacing w:line="276" w:lineRule="auto"/>
              <w:jc w:val="both"/>
              <w:rPr>
                <w:rFonts w:ascii="Calibri" w:eastAsia="Calibri" w:hAnsi="Calibri" w:cs="Arial"/>
                <w:b/>
                <w:sz w:val="20"/>
                <w:szCs w:val="20"/>
              </w:rPr>
            </w:pPr>
            <w:r>
              <w:rPr>
                <w:rFonts w:ascii="Calibri" w:eastAsia="Calibri" w:hAnsi="Calibri" w:cs="Arial"/>
                <w:b/>
                <w:sz w:val="20"/>
                <w:szCs w:val="20"/>
              </w:rPr>
              <w:t>The Business Manager</w:t>
            </w:r>
          </w:p>
        </w:tc>
      </w:tr>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2D5BAF" w:rsidRPr="009B5FE8" w:rsidRDefault="002D5BAF" w:rsidP="00553484">
            <w:pPr>
              <w:spacing w:line="276" w:lineRule="auto"/>
              <w:jc w:val="both"/>
              <w:rPr>
                <w:rFonts w:ascii="Calibri" w:eastAsia="Calibri" w:hAnsi="Calibri" w:cs="Arial"/>
                <w:b/>
                <w:sz w:val="20"/>
                <w:szCs w:val="20"/>
              </w:rPr>
            </w:pPr>
            <w:r>
              <w:rPr>
                <w:rFonts w:ascii="Calibri" w:eastAsia="Calibri" w:hAnsi="Calibri" w:cs="Arial"/>
                <w:b/>
                <w:sz w:val="20"/>
                <w:szCs w:val="20"/>
              </w:rPr>
              <w:t xml:space="preserve">School Officer – Level </w:t>
            </w:r>
            <w:r w:rsidR="00553484">
              <w:rPr>
                <w:rFonts w:ascii="Calibri" w:eastAsia="Calibri" w:hAnsi="Calibri" w:cs="Arial"/>
                <w:b/>
                <w:sz w:val="20"/>
                <w:szCs w:val="20"/>
              </w:rPr>
              <w:t>4</w:t>
            </w:r>
          </w:p>
        </w:tc>
      </w:tr>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2D5BAF" w:rsidRPr="009B5FE8" w:rsidRDefault="002D5BAF" w:rsidP="00387612">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387612">
              <w:rPr>
                <w:rFonts w:cs="Arial"/>
                <w:b/>
                <w:sz w:val="20"/>
                <w:szCs w:val="20"/>
              </w:rPr>
              <w:t>9</w:t>
            </w:r>
            <w:r w:rsidRPr="00BF5939">
              <w:rPr>
                <w:rFonts w:cs="Arial"/>
                <w:b/>
                <w:sz w:val="20"/>
                <w:szCs w:val="20"/>
              </w:rPr>
              <w:t xml:space="preserve"> - 20</w:t>
            </w:r>
            <w:r w:rsidR="00387612">
              <w:rPr>
                <w:rFonts w:cs="Arial"/>
                <w:b/>
                <w:sz w:val="20"/>
                <w:szCs w:val="20"/>
              </w:rPr>
              <w:t>23</w:t>
            </w:r>
          </w:p>
        </w:tc>
      </w:tr>
      <w:tr w:rsidR="002D5BAF" w:rsidRPr="009B5FE8" w:rsidTr="002D5BAF">
        <w:trPr>
          <w:trHeight w:val="397"/>
        </w:trPr>
        <w:tc>
          <w:tcPr>
            <w:tcW w:w="2263" w:type="dxa"/>
            <w:vAlign w:val="center"/>
          </w:tcPr>
          <w:p w:rsidR="002D5BAF" w:rsidRPr="009B5FE8" w:rsidRDefault="002D5BAF" w:rsidP="002D5BAF">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2D5BAF" w:rsidRPr="009B5FE8" w:rsidRDefault="00553484" w:rsidP="00A73925">
            <w:pPr>
              <w:spacing w:line="276" w:lineRule="auto"/>
              <w:jc w:val="both"/>
              <w:rPr>
                <w:rFonts w:ascii="Calibri" w:eastAsia="Calibri" w:hAnsi="Calibri" w:cs="Arial"/>
                <w:b/>
                <w:sz w:val="20"/>
                <w:szCs w:val="20"/>
              </w:rPr>
            </w:pPr>
            <w:r>
              <w:rPr>
                <w:rFonts w:ascii="Calibri" w:eastAsia="Calibri" w:hAnsi="Calibri" w:cs="Arial"/>
                <w:b/>
                <w:sz w:val="20"/>
                <w:szCs w:val="20"/>
              </w:rPr>
              <w:t xml:space="preserve">St </w:t>
            </w:r>
            <w:r w:rsidR="00A73925">
              <w:rPr>
                <w:rFonts w:ascii="Calibri" w:eastAsia="Calibri" w:hAnsi="Calibri" w:cs="Arial"/>
                <w:b/>
                <w:sz w:val="20"/>
                <w:szCs w:val="20"/>
              </w:rPr>
              <w:t>Anthony’s Catholic College, Deeragun</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2D5BAF">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2D5BAF">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2D5BAF">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2D5BAF">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2D5BAF">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2D5BAF">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2D5BAF">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2D5BAF">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2D5BAF">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2D5BAF">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2D5BAF">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A73925" w:rsidRDefault="00A73925" w:rsidP="002D5BAF">
      <w:pPr>
        <w:spacing w:before="120" w:after="120"/>
        <w:jc w:val="both"/>
        <w:rPr>
          <w:rFonts w:cstheme="minorHAnsi"/>
          <w:shd w:val="clear" w:color="auto" w:fill="FFFFFF"/>
        </w:rPr>
      </w:pPr>
      <w:r w:rsidRPr="000470CB">
        <w:rPr>
          <w:rFonts w:cstheme="minorHAnsi"/>
          <w:shd w:val="clear" w:color="auto" w:fill="FFFFFF"/>
        </w:rPr>
        <w:t>St Anthony's Catholic College, Deeragun is one of Townsville's best schools offering Kindergarten to Year 12. The College comprises state-of-the-art facilities situated in a peaceful bushland setting with extensive grounds and is well-resourced to support a committed and professional teaching staff in the provision of quality Catholic education for students in the northern beaches.</w:t>
      </w:r>
    </w:p>
    <w:p w:rsidR="002900BC" w:rsidRDefault="002900BC" w:rsidP="002D5BAF">
      <w:pPr>
        <w:spacing w:before="120" w:after="120"/>
        <w:jc w:val="both"/>
      </w:pPr>
      <w:r>
        <w:t xml:space="preserve">The Finance </w:t>
      </w:r>
      <w:r w:rsidR="00BB0107">
        <w:t>Officer</w:t>
      </w:r>
      <w:r>
        <w:t xml:space="preserve"> is responsible for providing support to the Principal with the financial functions of the school, demonstrating a high level of self-initiative, flexibility and dependability. </w:t>
      </w:r>
    </w:p>
    <w:p w:rsidR="00A31568" w:rsidRPr="006A75F4" w:rsidRDefault="002900BC" w:rsidP="002D5BAF">
      <w:pPr>
        <w:spacing w:before="120" w:after="120"/>
        <w:jc w:val="both"/>
      </w:pPr>
      <w:r>
        <w:t xml:space="preserve">The Finance </w:t>
      </w:r>
      <w:r w:rsidR="00BB0107">
        <w:t>Officer</w:t>
      </w:r>
      <w:r>
        <w:t xml:space="preserve"> is required to be familiar with the School Mission Statement and to strive to achieve the spirit of this statement in performing the role. The Finance </w:t>
      </w:r>
      <w:r w:rsidR="00BB0107">
        <w:t>Officer</w:t>
      </w:r>
      <w:r>
        <w:t xml:space="preserve"> demonstrates a high degree of skill and proficiency in managing a high volume of general phone enquiries and in office procedures.</w:t>
      </w:r>
    </w:p>
    <w:tbl>
      <w:tblPr>
        <w:tblStyle w:val="TableGrid1"/>
        <w:tblW w:w="0" w:type="auto"/>
        <w:shd w:val="clear" w:color="auto" w:fill="046660"/>
        <w:tblLook w:val="04A0" w:firstRow="1" w:lastRow="0" w:firstColumn="1" w:lastColumn="0" w:noHBand="0" w:noVBand="1"/>
      </w:tblPr>
      <w:tblGrid>
        <w:gridCol w:w="9463"/>
      </w:tblGrid>
      <w:tr w:rsidR="00A31568" w:rsidRPr="009B5FE8" w:rsidTr="006A75F4">
        <w:trPr>
          <w:trHeight w:val="340"/>
        </w:trPr>
        <w:tc>
          <w:tcPr>
            <w:tcW w:w="9463" w:type="dxa"/>
            <w:shd w:val="clear" w:color="auto" w:fill="046660"/>
            <w:vAlign w:val="center"/>
          </w:tcPr>
          <w:p w:rsidR="00A31568" w:rsidRPr="009B5FE8" w:rsidRDefault="00FE4759" w:rsidP="002D5BAF">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0831E3" w:rsidRPr="00BB0107" w:rsidRDefault="008B0781" w:rsidP="000831E3">
      <w:pPr>
        <w:pStyle w:val="ListParagraph"/>
        <w:numPr>
          <w:ilvl w:val="0"/>
          <w:numId w:val="22"/>
        </w:numPr>
        <w:tabs>
          <w:tab w:val="left" w:pos="720"/>
        </w:tabs>
        <w:spacing w:before="120" w:after="120"/>
        <w:jc w:val="both"/>
      </w:pPr>
      <w:r w:rsidRPr="00BB0107">
        <w:t>Responsib</w:t>
      </w:r>
      <w:r>
        <w:t>le</w:t>
      </w:r>
      <w:r w:rsidRPr="00BB0107">
        <w:t xml:space="preserve"> </w:t>
      </w:r>
      <w:r w:rsidR="002900BC" w:rsidRPr="00BB0107">
        <w:t xml:space="preserve">for all </w:t>
      </w:r>
      <w:r w:rsidR="00DD6138">
        <w:t>college</w:t>
      </w:r>
      <w:r w:rsidRPr="00BB0107">
        <w:t xml:space="preserve"> </w:t>
      </w:r>
      <w:r w:rsidR="00BB0107" w:rsidRPr="00BB0107">
        <w:t>purcha</w:t>
      </w:r>
      <w:r w:rsidR="000831E3">
        <w:t>sing, banking and cash handling</w:t>
      </w:r>
      <w:r>
        <w:t xml:space="preserve"> transactions and processes</w:t>
      </w:r>
    </w:p>
    <w:p w:rsidR="002900BC" w:rsidRDefault="008B0781" w:rsidP="00F344AA">
      <w:pPr>
        <w:pStyle w:val="ListParagraph"/>
        <w:numPr>
          <w:ilvl w:val="0"/>
          <w:numId w:val="22"/>
        </w:numPr>
        <w:tabs>
          <w:tab w:val="left" w:pos="720"/>
        </w:tabs>
        <w:spacing w:before="120" w:after="120"/>
        <w:jc w:val="both"/>
      </w:pPr>
      <w:r>
        <w:t>Provide support and input with the</w:t>
      </w:r>
      <w:r w:rsidR="002900BC" w:rsidRPr="00BB0107">
        <w:t xml:space="preserve"> annual budget preparation</w:t>
      </w:r>
      <w:r w:rsidR="00905198">
        <w:t xml:space="preserve">, student fee generation and </w:t>
      </w:r>
      <w:r w:rsidR="002900BC" w:rsidRPr="00BB0107">
        <w:t>collection of fees</w:t>
      </w:r>
    </w:p>
    <w:p w:rsidR="008B0781" w:rsidRDefault="009F65CA" w:rsidP="00F344AA">
      <w:pPr>
        <w:pStyle w:val="ListParagraph"/>
        <w:numPr>
          <w:ilvl w:val="0"/>
          <w:numId w:val="22"/>
        </w:numPr>
        <w:tabs>
          <w:tab w:val="left" w:pos="720"/>
        </w:tabs>
        <w:spacing w:before="120" w:after="120"/>
        <w:jc w:val="both"/>
      </w:pPr>
      <w:r>
        <w:t>P</w:t>
      </w:r>
      <w:r w:rsidR="00021C8B">
        <w:t>rocess end of month</w:t>
      </w:r>
      <w:r w:rsidR="008B0781">
        <w:t xml:space="preserve"> and </w:t>
      </w:r>
      <w:r w:rsidR="00021C8B">
        <w:t>end of financial year</w:t>
      </w:r>
      <w:r w:rsidR="008B0781">
        <w:t xml:space="preserve"> processes including </w:t>
      </w:r>
      <w:r w:rsidR="00DD6138">
        <w:t>reconciliations</w:t>
      </w:r>
      <w:r w:rsidR="008B0781">
        <w:t xml:space="preserve"> and reporting</w:t>
      </w:r>
    </w:p>
    <w:p w:rsidR="009F65CA" w:rsidRDefault="008B0781" w:rsidP="00F344AA">
      <w:pPr>
        <w:pStyle w:val="ListParagraph"/>
        <w:numPr>
          <w:ilvl w:val="0"/>
          <w:numId w:val="22"/>
        </w:numPr>
        <w:tabs>
          <w:tab w:val="left" w:pos="720"/>
        </w:tabs>
        <w:spacing w:before="120" w:after="120"/>
        <w:jc w:val="both"/>
      </w:pPr>
      <w:r>
        <w:t xml:space="preserve">Reconcile </w:t>
      </w:r>
      <w:r w:rsidR="00021C8B">
        <w:t>college loan accounts</w:t>
      </w:r>
    </w:p>
    <w:p w:rsidR="00021C8B" w:rsidRDefault="00021C8B" w:rsidP="00F344AA">
      <w:pPr>
        <w:pStyle w:val="ListParagraph"/>
        <w:numPr>
          <w:ilvl w:val="0"/>
          <w:numId w:val="22"/>
        </w:numPr>
        <w:tabs>
          <w:tab w:val="left" w:pos="720"/>
        </w:tabs>
        <w:spacing w:before="120" w:after="120"/>
        <w:jc w:val="both"/>
      </w:pPr>
      <w:r>
        <w:t>Prepare and reconcile monthly BAS reports</w:t>
      </w:r>
    </w:p>
    <w:p w:rsidR="00021C8B" w:rsidRPr="00BB0107" w:rsidRDefault="00021C8B" w:rsidP="00F344AA">
      <w:pPr>
        <w:pStyle w:val="ListParagraph"/>
        <w:numPr>
          <w:ilvl w:val="0"/>
          <w:numId w:val="22"/>
        </w:numPr>
        <w:tabs>
          <w:tab w:val="left" w:pos="720"/>
        </w:tabs>
        <w:spacing w:before="120" w:after="120"/>
        <w:jc w:val="both"/>
      </w:pPr>
      <w:r>
        <w:t>Process general journal entries and adjustments as required</w:t>
      </w:r>
    </w:p>
    <w:p w:rsidR="00BB0107" w:rsidRDefault="00BB0107" w:rsidP="00F344AA">
      <w:pPr>
        <w:pStyle w:val="ListParagraph"/>
        <w:numPr>
          <w:ilvl w:val="0"/>
          <w:numId w:val="22"/>
        </w:numPr>
        <w:tabs>
          <w:tab w:val="left" w:pos="720"/>
        </w:tabs>
        <w:spacing w:before="120" w:after="120"/>
        <w:jc w:val="both"/>
      </w:pPr>
      <w:r w:rsidRPr="00AF29AB">
        <w:t>Manage claims for financial assistance and reimbursements</w:t>
      </w:r>
      <w:r w:rsidR="008B0781">
        <w:t xml:space="preserve"> in accordance with processes</w:t>
      </w:r>
    </w:p>
    <w:p w:rsidR="00DA6D67" w:rsidRDefault="00DA6D67" w:rsidP="00F344AA">
      <w:pPr>
        <w:pStyle w:val="ListParagraph"/>
        <w:numPr>
          <w:ilvl w:val="0"/>
          <w:numId w:val="22"/>
        </w:numPr>
        <w:tabs>
          <w:tab w:val="left" w:pos="720"/>
        </w:tabs>
        <w:spacing w:before="120" w:after="120"/>
        <w:jc w:val="both"/>
      </w:pPr>
      <w:r>
        <w:t>Assist with accounts receivable processes, maintaining sundry debtors</w:t>
      </w:r>
    </w:p>
    <w:p w:rsidR="002900BC" w:rsidRDefault="002900BC" w:rsidP="00F344AA">
      <w:pPr>
        <w:pStyle w:val="ListParagraph"/>
        <w:numPr>
          <w:ilvl w:val="0"/>
          <w:numId w:val="22"/>
        </w:numPr>
        <w:tabs>
          <w:tab w:val="left" w:pos="720"/>
        </w:tabs>
        <w:spacing w:before="120" w:after="120"/>
        <w:jc w:val="both"/>
      </w:pPr>
      <w:r w:rsidRPr="00BB0107">
        <w:t xml:space="preserve">Provide support </w:t>
      </w:r>
      <w:r w:rsidR="00AA557E">
        <w:t>in relation to</w:t>
      </w:r>
      <w:r w:rsidRPr="00BB0107">
        <w:t xml:space="preserve"> </w:t>
      </w:r>
      <w:r w:rsidR="008B0781">
        <w:t xml:space="preserve">college </w:t>
      </w:r>
      <w:r w:rsidRPr="00BB0107">
        <w:t>census reporting requirements</w:t>
      </w:r>
    </w:p>
    <w:p w:rsidR="002900BC" w:rsidRPr="00BB0107" w:rsidRDefault="002900BC" w:rsidP="00F344AA">
      <w:pPr>
        <w:pStyle w:val="ListParagraph"/>
        <w:numPr>
          <w:ilvl w:val="0"/>
          <w:numId w:val="22"/>
        </w:numPr>
        <w:tabs>
          <w:tab w:val="left" w:pos="720"/>
        </w:tabs>
        <w:spacing w:before="120" w:after="120"/>
        <w:jc w:val="both"/>
      </w:pPr>
      <w:r w:rsidRPr="00BB0107">
        <w:t>Preparation of financial reports</w:t>
      </w:r>
      <w:r w:rsidR="00AA557E">
        <w:t xml:space="preserve"> and documentation</w:t>
      </w:r>
      <w:r w:rsidRPr="00BB0107">
        <w:t xml:space="preserve"> to support audit</w:t>
      </w:r>
      <w:r w:rsidR="000831E3">
        <w:t xml:space="preserve"> requirements and reporting commitments</w:t>
      </w:r>
    </w:p>
    <w:p w:rsidR="00BB0107" w:rsidRPr="00BB0107" w:rsidRDefault="002900BC" w:rsidP="00F344AA">
      <w:pPr>
        <w:pStyle w:val="ListParagraph"/>
        <w:numPr>
          <w:ilvl w:val="0"/>
          <w:numId w:val="22"/>
        </w:numPr>
        <w:tabs>
          <w:tab w:val="left" w:pos="720"/>
        </w:tabs>
        <w:spacing w:before="120" w:after="120"/>
        <w:jc w:val="both"/>
      </w:pPr>
      <w:r w:rsidRPr="00BB0107">
        <w:t xml:space="preserve">Carry out a </w:t>
      </w:r>
      <w:r w:rsidR="000831E3">
        <w:t>diverse</w:t>
      </w:r>
      <w:r w:rsidRPr="00BB0107">
        <w:t xml:space="preserve"> range of school administration duties including record management </w:t>
      </w:r>
      <w:r w:rsidR="000831E3">
        <w:t xml:space="preserve">to support the effective functioning of the </w:t>
      </w:r>
      <w:r w:rsidR="008B0781">
        <w:t>college</w:t>
      </w:r>
    </w:p>
    <w:p w:rsidR="002900BC" w:rsidRDefault="008B0781" w:rsidP="00F344AA">
      <w:pPr>
        <w:pStyle w:val="ListParagraph"/>
        <w:numPr>
          <w:ilvl w:val="0"/>
          <w:numId w:val="22"/>
        </w:numPr>
        <w:tabs>
          <w:tab w:val="left" w:pos="720"/>
        </w:tabs>
        <w:spacing w:before="120" w:after="120"/>
        <w:jc w:val="both"/>
      </w:pPr>
      <w:r w:rsidRPr="00BB0107">
        <w:t>Provid</w:t>
      </w:r>
      <w:r>
        <w:t>e</w:t>
      </w:r>
      <w:r w:rsidRPr="00BB0107">
        <w:t xml:space="preserve"> </w:t>
      </w:r>
      <w:r w:rsidR="002900BC" w:rsidRPr="00BB0107">
        <w:t>information and respond to enquiries from the school community</w:t>
      </w:r>
      <w:r>
        <w:t xml:space="preserve"> </w:t>
      </w:r>
    </w:p>
    <w:p w:rsidR="000831E3" w:rsidRDefault="000831E3" w:rsidP="00F344AA">
      <w:pPr>
        <w:pStyle w:val="ListParagraph"/>
        <w:numPr>
          <w:ilvl w:val="0"/>
          <w:numId w:val="22"/>
        </w:numPr>
        <w:tabs>
          <w:tab w:val="left" w:pos="720"/>
        </w:tabs>
        <w:spacing w:before="120" w:after="120"/>
        <w:jc w:val="both"/>
      </w:pPr>
      <w:r>
        <w:t>Work in collaboration with the finance team – Townsville Catholic Education Office (TCEO)</w:t>
      </w:r>
    </w:p>
    <w:p w:rsidR="008B0781" w:rsidRPr="00AF29AB" w:rsidRDefault="00DA6D67" w:rsidP="008B0781">
      <w:pPr>
        <w:pStyle w:val="ListParagraph"/>
        <w:numPr>
          <w:ilvl w:val="0"/>
          <w:numId w:val="22"/>
        </w:numPr>
        <w:tabs>
          <w:tab w:val="left" w:pos="720"/>
        </w:tabs>
        <w:spacing w:before="120" w:after="120"/>
        <w:jc w:val="both"/>
      </w:pPr>
      <w:r>
        <w:t>Assist the Business Manager and provide back-up assistance to Accounts Payable officer as requi</w:t>
      </w:r>
      <w:r w:rsidR="008B0781">
        <w:t>red</w:t>
      </w:r>
    </w:p>
    <w:p w:rsidR="008B0781" w:rsidRDefault="008B0781" w:rsidP="00F344AA">
      <w:pPr>
        <w:pStyle w:val="ListParagraph"/>
        <w:numPr>
          <w:ilvl w:val="0"/>
          <w:numId w:val="22"/>
        </w:numPr>
        <w:tabs>
          <w:tab w:val="left" w:pos="720"/>
        </w:tabs>
        <w:spacing w:before="120" w:after="120"/>
        <w:jc w:val="both"/>
      </w:pPr>
      <w:r>
        <w:t>Ensure accura</w:t>
      </w:r>
      <w:r w:rsidR="00DD6138">
        <w:t>cy</w:t>
      </w:r>
      <w:r>
        <w:t xml:space="preserve"> and efficiency with data entry utilising </w:t>
      </w:r>
      <w:r w:rsidR="00DD6138">
        <w:t>required</w:t>
      </w:r>
      <w:r>
        <w:t xml:space="preserve"> platform</w:t>
      </w:r>
      <w:r w:rsidR="00DD6138">
        <w:t>s</w:t>
      </w:r>
    </w:p>
    <w:p w:rsidR="008B0781" w:rsidRPr="00BB0107" w:rsidRDefault="008B0781" w:rsidP="00F344AA">
      <w:pPr>
        <w:pStyle w:val="ListParagraph"/>
        <w:numPr>
          <w:ilvl w:val="0"/>
          <w:numId w:val="22"/>
        </w:numPr>
        <w:tabs>
          <w:tab w:val="left" w:pos="720"/>
        </w:tabs>
        <w:spacing w:before="120" w:after="120"/>
        <w:jc w:val="both"/>
      </w:pPr>
      <w:r>
        <w:t>Ensure a commitment to safe, confidential and secure processes</w:t>
      </w:r>
    </w:p>
    <w:p w:rsidR="00A31568" w:rsidRPr="00BB0107" w:rsidRDefault="002900BC" w:rsidP="00DD6138">
      <w:pPr>
        <w:pStyle w:val="ListParagraph"/>
        <w:numPr>
          <w:ilvl w:val="0"/>
          <w:numId w:val="22"/>
        </w:numPr>
        <w:tabs>
          <w:tab w:val="left" w:pos="720"/>
        </w:tabs>
        <w:spacing w:before="120" w:after="0"/>
        <w:ind w:left="714" w:hanging="357"/>
        <w:jc w:val="both"/>
      </w:pPr>
      <w:r w:rsidRPr="00BB0107">
        <w:t xml:space="preserve">Any other tasks as reasonably requested by the </w:t>
      </w:r>
      <w:r w:rsidR="00553484">
        <w:t xml:space="preserve">Business Manager, </w:t>
      </w:r>
      <w:r w:rsidRPr="00BB0107">
        <w:t>Principal</w:t>
      </w:r>
      <w:r w:rsidR="00553484">
        <w:t xml:space="preserve"> or College Leadership Team</w:t>
      </w:r>
      <w:r w:rsidRPr="00BB0107">
        <w:t>.</w:t>
      </w:r>
    </w:p>
    <w:tbl>
      <w:tblPr>
        <w:tblStyle w:val="TableGrid1"/>
        <w:tblW w:w="0" w:type="auto"/>
        <w:shd w:val="clear" w:color="auto" w:fill="046660"/>
        <w:tblLook w:val="04A0" w:firstRow="1" w:lastRow="0" w:firstColumn="1" w:lastColumn="0" w:noHBand="0" w:noVBand="1"/>
      </w:tblPr>
      <w:tblGrid>
        <w:gridCol w:w="9463"/>
      </w:tblGrid>
      <w:tr w:rsidR="00B015A8" w:rsidRPr="009B5FE8" w:rsidTr="004F2EAA">
        <w:trPr>
          <w:trHeight w:val="340"/>
        </w:trPr>
        <w:tc>
          <w:tcPr>
            <w:tcW w:w="9918" w:type="dxa"/>
            <w:shd w:val="clear" w:color="auto" w:fill="046660"/>
            <w:vAlign w:val="center"/>
          </w:tcPr>
          <w:p w:rsidR="00B015A8" w:rsidRPr="009B5FE8" w:rsidRDefault="00B015A8" w:rsidP="002D5BAF">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B015A8" w:rsidRPr="009B5FE8" w:rsidRDefault="00B015A8" w:rsidP="002D5BAF">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B015A8" w:rsidRPr="009B5FE8" w:rsidRDefault="00B015A8" w:rsidP="002D5BAF">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B015A8" w:rsidRPr="009B5FE8" w:rsidRDefault="00B015A8" w:rsidP="002D5BAF">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B015A8" w:rsidRPr="009B5FE8" w:rsidRDefault="00B015A8" w:rsidP="002D5BAF">
      <w:pPr>
        <w:spacing w:before="120" w:after="240"/>
        <w:jc w:val="both"/>
        <w:rPr>
          <w:rFonts w:ascii="Calibri" w:eastAsia="Calibri" w:hAnsi="Calibri" w:cs="Times New Roman"/>
          <w:bCs/>
        </w:rPr>
      </w:pPr>
      <w:r w:rsidRPr="009B5FE8">
        <w:rPr>
          <w:rFonts w:ascii="Calibri" w:eastAsia="Calibri" w:hAnsi="Calibri" w:cs="Times New Roman"/>
          <w:bCs/>
        </w:rPr>
        <w:lastRenderedPageBreak/>
        <w:t>Employees will demonstrate a willingness and acceptance to initiate and participate in relevant training and professional development opportunities.</w:t>
      </w:r>
    </w:p>
    <w:p w:rsidR="00B015A8" w:rsidRPr="009B5FE8" w:rsidRDefault="00B015A8" w:rsidP="002D5BAF">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B015A8" w:rsidRPr="009B5FE8" w:rsidRDefault="00B015A8" w:rsidP="002D5BAF">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Adhere to Work Health and Safety instructions</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Promote a commitment to safe work practices</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bCs/>
        </w:rPr>
        <w:t>Be familiar with workplace incident, hazard and accident reporting and emergency procedures</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Take reasonable action to avoid, eliminate or minimise risk and hazards</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Utilise personal protective equipment</w:t>
      </w:r>
    </w:p>
    <w:p w:rsidR="00B015A8" w:rsidRPr="00B015A8"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Participate in the development of a safe and healthy workplace</w:t>
      </w:r>
    </w:p>
    <w:p w:rsidR="002D5BAF" w:rsidRPr="00E55077" w:rsidRDefault="00B015A8" w:rsidP="002D5BAF">
      <w:pPr>
        <w:pStyle w:val="ListParagraph"/>
        <w:numPr>
          <w:ilvl w:val="0"/>
          <w:numId w:val="13"/>
        </w:numPr>
        <w:tabs>
          <w:tab w:val="left" w:pos="720"/>
        </w:tabs>
        <w:spacing w:after="120"/>
        <w:rPr>
          <w:rFonts w:ascii="Calibri" w:eastAsia="Calibri" w:hAnsi="Calibri" w:cs="Times New Roman"/>
        </w:rPr>
      </w:pPr>
      <w:r w:rsidRPr="00B015A8">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2D5BAF">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2D5BAF">
      <w:pPr>
        <w:tabs>
          <w:tab w:val="left" w:pos="426"/>
        </w:tabs>
        <w:spacing w:before="120" w:after="0"/>
        <w:jc w:val="both"/>
        <w:rPr>
          <w:rFonts w:ascii="Calibri" w:hAnsi="Calibri"/>
          <w:b/>
        </w:rPr>
      </w:pPr>
      <w:r w:rsidRPr="00877C90">
        <w:rPr>
          <w:rFonts w:ascii="Calibri" w:hAnsi="Calibri"/>
          <w:b/>
        </w:rPr>
        <w:t>Experience</w:t>
      </w:r>
    </w:p>
    <w:p w:rsidR="002900BC" w:rsidRDefault="002900BC" w:rsidP="002D5BAF">
      <w:pPr>
        <w:pStyle w:val="ListParagraph"/>
        <w:numPr>
          <w:ilvl w:val="0"/>
          <w:numId w:val="10"/>
        </w:numPr>
        <w:tabs>
          <w:tab w:val="left" w:pos="426"/>
        </w:tabs>
        <w:spacing w:after="0"/>
        <w:rPr>
          <w:rFonts w:ascii="Calibri" w:hAnsi="Calibri"/>
        </w:rPr>
      </w:pPr>
      <w:r w:rsidRPr="00F31A8C">
        <w:rPr>
          <w:rFonts w:ascii="Calibri" w:hAnsi="Calibri"/>
        </w:rPr>
        <w:t>Relevant financial administration experience inclu</w:t>
      </w:r>
      <w:r>
        <w:rPr>
          <w:rFonts w:ascii="Calibri" w:hAnsi="Calibri"/>
        </w:rPr>
        <w:t>ding GST and preparation of BAS</w:t>
      </w:r>
    </w:p>
    <w:p w:rsidR="002900BC" w:rsidRDefault="002900BC" w:rsidP="002D5BAF">
      <w:pPr>
        <w:pStyle w:val="ListParagraph"/>
        <w:numPr>
          <w:ilvl w:val="0"/>
          <w:numId w:val="10"/>
        </w:numPr>
        <w:rPr>
          <w:rFonts w:ascii="Calibri" w:hAnsi="Calibri"/>
        </w:rPr>
      </w:pPr>
      <w:r w:rsidRPr="00493041">
        <w:rPr>
          <w:rFonts w:ascii="Calibri" w:hAnsi="Calibri"/>
        </w:rPr>
        <w:t>Demonstrated experience in carrying out financial accounting capabilities</w:t>
      </w:r>
    </w:p>
    <w:p w:rsidR="005379F4" w:rsidRPr="002900BC" w:rsidRDefault="002900BC" w:rsidP="00DD6138">
      <w:pPr>
        <w:pStyle w:val="ListParagraph"/>
        <w:numPr>
          <w:ilvl w:val="0"/>
          <w:numId w:val="10"/>
        </w:numPr>
        <w:spacing w:after="120"/>
        <w:ind w:left="714" w:hanging="357"/>
        <w:rPr>
          <w:rFonts w:ascii="Calibri" w:hAnsi="Calibri"/>
        </w:rPr>
      </w:pPr>
      <w:r w:rsidRPr="00493041">
        <w:rPr>
          <w:rFonts w:ascii="Calibri" w:hAnsi="Calibri"/>
        </w:rPr>
        <w:t>Relevant administration experien</w:t>
      </w:r>
      <w:r>
        <w:rPr>
          <w:rFonts w:ascii="Calibri" w:hAnsi="Calibri"/>
        </w:rPr>
        <w:t>ce including the use of financial</w:t>
      </w:r>
      <w:r w:rsidRPr="00493041">
        <w:rPr>
          <w:rFonts w:ascii="Calibri" w:hAnsi="Calibri"/>
        </w:rPr>
        <w:t xml:space="preserve"> software programs.</w:t>
      </w:r>
    </w:p>
    <w:p w:rsidR="00A31568" w:rsidRPr="005379F4" w:rsidRDefault="007231F6" w:rsidP="002D5BAF">
      <w:pPr>
        <w:spacing w:after="0"/>
        <w:jc w:val="both"/>
        <w:rPr>
          <w:rFonts w:ascii="Calibri" w:hAnsi="Calibri"/>
          <w:b/>
        </w:rPr>
      </w:pPr>
      <w:r>
        <w:rPr>
          <w:rFonts w:ascii="Calibri" w:hAnsi="Calibri"/>
          <w:b/>
        </w:rPr>
        <w:t>Skills</w:t>
      </w:r>
    </w:p>
    <w:p w:rsidR="002900BC" w:rsidRDefault="002900BC" w:rsidP="002D5BAF">
      <w:pPr>
        <w:pStyle w:val="ListParagraph"/>
        <w:numPr>
          <w:ilvl w:val="0"/>
          <w:numId w:val="10"/>
        </w:numPr>
        <w:tabs>
          <w:tab w:val="left" w:pos="720"/>
        </w:tabs>
        <w:spacing w:after="120"/>
        <w:jc w:val="both"/>
      </w:pPr>
      <w:r>
        <w:t>Knowledge of GST as it applies to schools</w:t>
      </w:r>
    </w:p>
    <w:p w:rsidR="002900BC" w:rsidRPr="008F1ADB" w:rsidRDefault="002900BC" w:rsidP="002D5BAF">
      <w:pPr>
        <w:pStyle w:val="ListParagraph"/>
        <w:numPr>
          <w:ilvl w:val="0"/>
          <w:numId w:val="10"/>
        </w:numPr>
        <w:tabs>
          <w:tab w:val="left" w:pos="720"/>
        </w:tabs>
        <w:spacing w:after="120"/>
        <w:jc w:val="both"/>
      </w:pPr>
      <w:r>
        <w:t xml:space="preserve">Knowledge of bad debt/accounts receivable management </w:t>
      </w:r>
    </w:p>
    <w:p w:rsidR="007231F6" w:rsidRPr="00AD656E" w:rsidRDefault="007231F6" w:rsidP="00DD6138">
      <w:pPr>
        <w:pStyle w:val="ListParagraph"/>
        <w:numPr>
          <w:ilvl w:val="0"/>
          <w:numId w:val="10"/>
        </w:numPr>
        <w:spacing w:after="120"/>
        <w:ind w:left="714" w:right="-23" w:hanging="357"/>
        <w:jc w:val="both"/>
        <w:rPr>
          <w:rFonts w:ascii="Calibri" w:hAnsi="Calibri"/>
        </w:rPr>
      </w:pPr>
      <w:r>
        <w:rPr>
          <w:rFonts w:ascii="Calibri" w:hAnsi="Calibri"/>
        </w:rPr>
        <w:t>Highly developed computer literacy with the ability to operate a variety of platforms.</w:t>
      </w:r>
    </w:p>
    <w:p w:rsidR="00A31568" w:rsidRPr="005379F4" w:rsidRDefault="007231F6" w:rsidP="002D5BAF">
      <w:pPr>
        <w:spacing w:after="0"/>
        <w:jc w:val="both"/>
        <w:rPr>
          <w:rFonts w:ascii="Calibri" w:hAnsi="Calibri"/>
          <w:b/>
        </w:rPr>
      </w:pPr>
      <w:r>
        <w:rPr>
          <w:rFonts w:ascii="Calibri" w:hAnsi="Calibri"/>
          <w:b/>
        </w:rPr>
        <w:t>Attributes</w:t>
      </w:r>
    </w:p>
    <w:p w:rsidR="007231F6" w:rsidRPr="007231F6" w:rsidRDefault="007231F6" w:rsidP="007231F6">
      <w:pPr>
        <w:pStyle w:val="ListParagraph"/>
        <w:numPr>
          <w:ilvl w:val="0"/>
          <w:numId w:val="17"/>
        </w:numPr>
        <w:tabs>
          <w:tab w:val="left" w:pos="0"/>
        </w:tabs>
        <w:spacing w:after="120"/>
        <w:jc w:val="both"/>
        <w:rPr>
          <w:rFonts w:ascii="Calibri" w:hAnsi="Calibri"/>
        </w:rPr>
      </w:pPr>
      <w:r w:rsidRPr="00F82F0F">
        <w:rPr>
          <w:rFonts w:ascii="Calibri" w:hAnsi="Calibri"/>
        </w:rPr>
        <w:t xml:space="preserve">Supports productive relationships with a demonstrated ability to work as part of a team and independently </w:t>
      </w:r>
    </w:p>
    <w:p w:rsidR="007231F6" w:rsidRDefault="007231F6" w:rsidP="007231F6">
      <w:pPr>
        <w:pStyle w:val="ListParagraph"/>
        <w:numPr>
          <w:ilvl w:val="0"/>
          <w:numId w:val="17"/>
        </w:numPr>
        <w:tabs>
          <w:tab w:val="left" w:pos="0"/>
        </w:tabs>
        <w:spacing w:after="120"/>
        <w:jc w:val="both"/>
        <w:rPr>
          <w:rFonts w:ascii="Calibri" w:hAnsi="Calibri"/>
        </w:rPr>
      </w:pPr>
      <w:r w:rsidRPr="00F82F0F">
        <w:rPr>
          <w:rFonts w:ascii="Calibri" w:hAnsi="Calibri"/>
        </w:rPr>
        <w:t>Ability to organise work, manage own time to meet deadlines, and be adaptable in response to changing priorities</w:t>
      </w:r>
    </w:p>
    <w:p w:rsidR="002900BC" w:rsidRPr="006066B9" w:rsidRDefault="007231F6" w:rsidP="002D5BAF">
      <w:pPr>
        <w:pStyle w:val="ListParagraph"/>
        <w:numPr>
          <w:ilvl w:val="0"/>
          <w:numId w:val="17"/>
        </w:numPr>
        <w:rPr>
          <w:rFonts w:ascii="Calibri" w:hAnsi="Calibri"/>
        </w:rPr>
      </w:pPr>
      <w:r>
        <w:rPr>
          <w:rFonts w:ascii="Calibri" w:hAnsi="Calibri"/>
        </w:rPr>
        <w:t>High level of attention to</w:t>
      </w:r>
      <w:r w:rsidR="002900BC" w:rsidRPr="006066B9">
        <w:rPr>
          <w:rFonts w:ascii="Calibri" w:hAnsi="Calibri"/>
        </w:rPr>
        <w:t xml:space="preserve"> detail and recognition of the importance of accuracy in all </w:t>
      </w:r>
      <w:r w:rsidR="002900BC">
        <w:rPr>
          <w:rFonts w:ascii="Calibri" w:hAnsi="Calibri"/>
        </w:rPr>
        <w:t>aspects of the work</w:t>
      </w:r>
    </w:p>
    <w:p w:rsidR="007231F6" w:rsidRPr="007231F6" w:rsidRDefault="007231F6" w:rsidP="007231F6">
      <w:pPr>
        <w:pStyle w:val="ListParagraph"/>
        <w:numPr>
          <w:ilvl w:val="0"/>
          <w:numId w:val="17"/>
        </w:numPr>
        <w:tabs>
          <w:tab w:val="left" w:pos="0"/>
        </w:tabs>
        <w:spacing w:after="120"/>
        <w:jc w:val="both"/>
        <w:rPr>
          <w:rFonts w:ascii="Calibri" w:hAnsi="Calibri"/>
        </w:rPr>
      </w:pPr>
      <w:r w:rsidRPr="00F82F0F">
        <w:rPr>
          <w:rFonts w:ascii="Calibri" w:hAnsi="Calibri"/>
        </w:rPr>
        <w:t>Ability to show initiative, flexibility, solve problems and contribute to process improvement in a complex environment.</w:t>
      </w:r>
    </w:p>
    <w:p w:rsidR="00A31568" w:rsidRPr="007231F6" w:rsidRDefault="002900BC" w:rsidP="00DD6138">
      <w:pPr>
        <w:pStyle w:val="ListParagraph"/>
        <w:numPr>
          <w:ilvl w:val="0"/>
          <w:numId w:val="17"/>
        </w:numPr>
        <w:spacing w:after="120"/>
        <w:ind w:left="714" w:hanging="357"/>
        <w:rPr>
          <w:rFonts w:ascii="Calibri" w:hAnsi="Calibri"/>
        </w:rPr>
      </w:pPr>
      <w:r w:rsidRPr="006066B9">
        <w:rPr>
          <w:rFonts w:ascii="Calibri" w:hAnsi="Calibri"/>
        </w:rPr>
        <w:t>Enthusiastic, energetic, flexible with a proactive attitude</w:t>
      </w:r>
      <w:r w:rsidR="007231F6">
        <w:rPr>
          <w:rFonts w:ascii="Calibri" w:hAnsi="Calibri"/>
        </w:rPr>
        <w:t>.</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2D5BA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C08E7" w:rsidRDefault="008C08E7" w:rsidP="002D5BAF">
      <w:pPr>
        <w:pStyle w:val="ListParagraph"/>
        <w:numPr>
          <w:ilvl w:val="0"/>
          <w:numId w:val="11"/>
        </w:numPr>
        <w:spacing w:after="120"/>
        <w:jc w:val="both"/>
        <w:rPr>
          <w:rFonts w:ascii="Calibri" w:eastAsia="Calibri" w:hAnsi="Calibri" w:cs="Times New Roman"/>
        </w:rPr>
      </w:pPr>
      <w:r w:rsidRPr="00B015A8">
        <w:rPr>
          <w:rFonts w:ascii="Calibri" w:eastAsia="Calibri" w:hAnsi="Calibri" w:cs="Times New Roman"/>
        </w:rPr>
        <w:t xml:space="preserve">Current Working with Children Suitability Card </w:t>
      </w:r>
      <w:r>
        <w:rPr>
          <w:rFonts w:ascii="Calibri" w:eastAsia="Calibri" w:hAnsi="Calibri" w:cs="Times New Roman"/>
        </w:rPr>
        <w:t xml:space="preserve">- </w:t>
      </w:r>
      <w:r w:rsidRPr="00873B5C">
        <w:rPr>
          <w:rFonts w:ascii="Calibri" w:eastAsia="Calibri" w:hAnsi="Calibri" w:cs="Times New Roman"/>
        </w:rPr>
        <w:t>The successful candidate will require a paid Blue Card before commencement as per the No Card, No Start policy dev</w:t>
      </w:r>
      <w:r>
        <w:rPr>
          <w:rFonts w:ascii="Calibri" w:eastAsia="Calibri" w:hAnsi="Calibri" w:cs="Times New Roman"/>
        </w:rPr>
        <w:t>eloped by Queensland Government</w:t>
      </w:r>
    </w:p>
    <w:p w:rsidR="002900BC" w:rsidRPr="002900BC" w:rsidRDefault="002900BC" w:rsidP="002D5BAF">
      <w:pPr>
        <w:pStyle w:val="ListParagraph"/>
        <w:numPr>
          <w:ilvl w:val="0"/>
          <w:numId w:val="11"/>
        </w:numPr>
        <w:rPr>
          <w:rFonts w:ascii="Calibri" w:eastAsia="Calibri" w:hAnsi="Calibri" w:cs="Times New Roman"/>
        </w:rPr>
      </w:pPr>
      <w:r w:rsidRPr="008A7C78">
        <w:rPr>
          <w:rFonts w:ascii="Calibri" w:eastAsia="Calibri" w:hAnsi="Calibri" w:cs="Times New Roman"/>
        </w:rPr>
        <w:t>Minimum diploma level qualification or equivalent relevant experience.</w:t>
      </w:r>
    </w:p>
    <w:p w:rsidR="008C08E7" w:rsidRPr="00B015A8" w:rsidRDefault="008C08E7" w:rsidP="002D5BAF">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Current Driver’s Licence</w:t>
      </w:r>
    </w:p>
    <w:p w:rsidR="008C08E7" w:rsidRPr="00B015A8" w:rsidRDefault="008C08E7" w:rsidP="002D5BAF">
      <w:pPr>
        <w:pStyle w:val="ListParagraph"/>
        <w:numPr>
          <w:ilvl w:val="0"/>
          <w:numId w:val="11"/>
        </w:numPr>
        <w:spacing w:after="120"/>
        <w:rPr>
          <w:rFonts w:ascii="Calibri" w:eastAsia="Calibri" w:hAnsi="Calibri" w:cs="Times New Roman"/>
        </w:rPr>
      </w:pPr>
      <w:r w:rsidRPr="00B015A8">
        <w:rPr>
          <w:rFonts w:ascii="Calibri" w:eastAsia="Calibri" w:hAnsi="Calibri" w:cs="Times New Roman"/>
        </w:rPr>
        <w:t>Ability to travel from time to time within the Catholic Diocese of Townsville</w:t>
      </w:r>
    </w:p>
    <w:p w:rsidR="008C08E7" w:rsidRPr="00B015A8" w:rsidRDefault="008C08E7" w:rsidP="00DD6138">
      <w:pPr>
        <w:pStyle w:val="ListParagraph"/>
        <w:numPr>
          <w:ilvl w:val="0"/>
          <w:numId w:val="11"/>
        </w:numPr>
        <w:spacing w:after="240"/>
        <w:ind w:left="714" w:hanging="357"/>
        <w:rPr>
          <w:rFonts w:ascii="Calibri" w:eastAsia="Calibri" w:hAnsi="Calibri" w:cs="Times New Roman"/>
        </w:rPr>
      </w:pPr>
      <w:r w:rsidRPr="00B015A8">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5E3A47">
        <w:trPr>
          <w:trHeight w:val="340"/>
        </w:trPr>
        <w:tc>
          <w:tcPr>
            <w:tcW w:w="9463" w:type="dxa"/>
            <w:shd w:val="clear" w:color="auto" w:fill="046660"/>
            <w:vAlign w:val="center"/>
          </w:tcPr>
          <w:p w:rsidR="00A31568" w:rsidRPr="009B5FE8" w:rsidRDefault="00A31568" w:rsidP="002D5BA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Desirable Criteria</w:t>
            </w:r>
          </w:p>
        </w:tc>
      </w:tr>
    </w:tbl>
    <w:p w:rsidR="002900BC" w:rsidRDefault="002900BC" w:rsidP="002D5BAF">
      <w:pPr>
        <w:pStyle w:val="ListParagraph"/>
        <w:numPr>
          <w:ilvl w:val="0"/>
          <w:numId w:val="12"/>
        </w:numPr>
      </w:pPr>
      <w:r w:rsidRPr="00CB5CAE">
        <w:t>Certificate in Business Admi</w:t>
      </w:r>
      <w:r>
        <w:t xml:space="preserve">nistration </w:t>
      </w:r>
    </w:p>
    <w:p w:rsidR="005379F4" w:rsidRPr="002900BC" w:rsidRDefault="002900BC" w:rsidP="00DD6138">
      <w:pPr>
        <w:pStyle w:val="ListParagraph"/>
        <w:numPr>
          <w:ilvl w:val="0"/>
          <w:numId w:val="12"/>
        </w:numPr>
        <w:spacing w:after="120"/>
        <w:ind w:left="714" w:hanging="357"/>
      </w:pPr>
      <w:r>
        <w:rPr>
          <w:rFonts w:ascii="Calibri" w:hAnsi="Calibri"/>
        </w:rPr>
        <w:t>Previous experience in the e</w:t>
      </w:r>
      <w:r w:rsidRPr="00CB5CAE">
        <w:rPr>
          <w:rFonts w:ascii="Calibri" w:hAnsi="Calibri"/>
        </w:rPr>
        <w:t>ducation field would be considered advantageous.</w:t>
      </w:r>
    </w:p>
    <w:p w:rsidR="00E55077" w:rsidRPr="005379F4" w:rsidRDefault="00A31568" w:rsidP="00DD6138">
      <w:pPr>
        <w:shd w:val="clear" w:color="auto" w:fill="FFFFFF"/>
        <w:spacing w:after="120"/>
        <w:jc w:val="both"/>
        <w:textAlignment w:val="baseline"/>
        <w:rPr>
          <w:i/>
        </w:rPr>
      </w:pPr>
      <w:r w:rsidRPr="005379F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2D5BAF">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DD6138">
      <w:pPr>
        <w:spacing w:before="120" w:after="12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Default="00A31568" w:rsidP="002D5BAF">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B32034">
        <w:tc>
          <w:tcPr>
            <w:tcW w:w="9463" w:type="dxa"/>
            <w:gridSpan w:val="2"/>
            <w:shd w:val="clear" w:color="auto" w:fill="8BC53F"/>
          </w:tcPr>
          <w:p w:rsidR="00A31568" w:rsidRPr="009B5FE8" w:rsidRDefault="00A31568" w:rsidP="002D5BAF">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B32034">
        <w:tc>
          <w:tcPr>
            <w:tcW w:w="4659" w:type="dxa"/>
            <w:shd w:val="clear" w:color="auto" w:fill="B1D355"/>
          </w:tcPr>
          <w:p w:rsidR="00A31568" w:rsidRPr="009B5FE8" w:rsidRDefault="00A31568" w:rsidP="002D5BA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2D5BA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val="restart"/>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B32034">
        <w:tc>
          <w:tcPr>
            <w:tcW w:w="4659" w:type="dxa"/>
          </w:tcPr>
          <w:p w:rsidR="00A31568" w:rsidRPr="009B5FE8" w:rsidRDefault="009F78EF"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2D5BAF">
            <w:pPr>
              <w:spacing w:line="276" w:lineRule="auto"/>
              <w:rPr>
                <w:rFonts w:ascii="Calibri" w:eastAsia="Calibri" w:hAnsi="Calibri" w:cs="Times New Roman"/>
                <w:sz w:val="20"/>
                <w:szCs w:val="20"/>
              </w:rPr>
            </w:pPr>
          </w:p>
        </w:tc>
      </w:tr>
      <w:tr w:rsidR="00A31568" w:rsidRPr="009B5FE8" w:rsidTr="00B32034">
        <w:tc>
          <w:tcPr>
            <w:tcW w:w="4659" w:type="dxa"/>
            <w:shd w:val="clear" w:color="auto" w:fill="B1D355"/>
          </w:tcPr>
          <w:p w:rsidR="00A31568" w:rsidRPr="009B5FE8" w:rsidRDefault="00A31568" w:rsidP="002D5BA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2D5BAF">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B32034">
        <w:tc>
          <w:tcPr>
            <w:tcW w:w="4659"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B32034">
        <w:tc>
          <w:tcPr>
            <w:tcW w:w="4659" w:type="dxa"/>
            <w:vMerge w:val="restart"/>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B32034">
        <w:tc>
          <w:tcPr>
            <w:tcW w:w="4659" w:type="dxa"/>
            <w:vMerge/>
          </w:tcPr>
          <w:p w:rsidR="00A31568" w:rsidRPr="009B5FE8" w:rsidRDefault="00A31568" w:rsidP="002D5BAF">
            <w:pPr>
              <w:spacing w:line="276" w:lineRule="auto"/>
              <w:rPr>
                <w:rFonts w:ascii="Calibri" w:eastAsia="Calibri" w:hAnsi="Calibri" w:cs="Times New Roman"/>
                <w:sz w:val="20"/>
                <w:szCs w:val="20"/>
              </w:rPr>
            </w:pPr>
          </w:p>
        </w:tc>
        <w:tc>
          <w:tcPr>
            <w:tcW w:w="4804" w:type="dxa"/>
          </w:tcPr>
          <w:p w:rsidR="00A31568" w:rsidRPr="009B5FE8" w:rsidRDefault="00A31568" w:rsidP="002D5BAF">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F9015B" w:rsidRDefault="00F9015B">
      <w:pPr>
        <w:rPr>
          <w:rFonts w:ascii="Calibri" w:hAnsi="Calibri"/>
        </w:rPr>
      </w:pPr>
    </w:p>
    <w:tbl>
      <w:tblPr>
        <w:tblStyle w:val="TableGrid1"/>
        <w:tblW w:w="0" w:type="auto"/>
        <w:shd w:val="clear" w:color="auto" w:fill="046660"/>
        <w:tblLook w:val="04A0" w:firstRow="1" w:lastRow="0" w:firstColumn="1" w:lastColumn="0" w:noHBand="0" w:noVBand="1"/>
      </w:tblPr>
      <w:tblGrid>
        <w:gridCol w:w="9463"/>
      </w:tblGrid>
      <w:tr w:rsidR="00DA7C8C" w:rsidRPr="009B5FE8" w:rsidTr="00765EB5">
        <w:trPr>
          <w:trHeight w:val="340"/>
        </w:trPr>
        <w:tc>
          <w:tcPr>
            <w:tcW w:w="9463" w:type="dxa"/>
            <w:shd w:val="clear" w:color="auto" w:fill="046660"/>
            <w:vAlign w:val="center"/>
          </w:tcPr>
          <w:p w:rsidR="00DA7C8C" w:rsidRPr="009B5FE8" w:rsidRDefault="00DA7C8C" w:rsidP="002D5BAF">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REPORTING &amp; OTHER RELATIONSHIPS</w:t>
            </w:r>
          </w:p>
        </w:tc>
      </w:tr>
    </w:tbl>
    <w:p w:rsidR="002900BC" w:rsidRDefault="002900BC" w:rsidP="002D5BAF">
      <w:pPr>
        <w:tabs>
          <w:tab w:val="left" w:pos="720"/>
          <w:tab w:val="left" w:pos="1260"/>
          <w:tab w:val="left" w:pos="2127"/>
          <w:tab w:val="left" w:pos="9498"/>
        </w:tabs>
        <w:spacing w:before="120"/>
        <w:jc w:val="both"/>
        <w:rPr>
          <w:rFonts w:ascii="Calibri" w:hAnsi="Calibri"/>
        </w:rPr>
      </w:pPr>
      <w:r w:rsidRPr="00877C90">
        <w:rPr>
          <w:rFonts w:ascii="Calibri" w:hAnsi="Calibri"/>
        </w:rPr>
        <w:t xml:space="preserve">The </w:t>
      </w:r>
      <w:r>
        <w:rPr>
          <w:rFonts w:ascii="Calibri" w:hAnsi="Calibri"/>
        </w:rPr>
        <w:t xml:space="preserve">Finance </w:t>
      </w:r>
      <w:r w:rsidR="00BB0107">
        <w:rPr>
          <w:rFonts w:ascii="Calibri" w:hAnsi="Calibri"/>
        </w:rPr>
        <w:t>Officer</w:t>
      </w:r>
      <w:r>
        <w:rPr>
          <w:rFonts w:ascii="Calibri" w:hAnsi="Calibri"/>
        </w:rPr>
        <w:t xml:space="preserve"> is accountable </w:t>
      </w:r>
      <w:r w:rsidR="00553484">
        <w:rPr>
          <w:rFonts w:ascii="Calibri" w:hAnsi="Calibri"/>
        </w:rPr>
        <w:t xml:space="preserve">in the first instance </w:t>
      </w:r>
      <w:r>
        <w:rPr>
          <w:rFonts w:ascii="Calibri" w:hAnsi="Calibri"/>
        </w:rPr>
        <w:t xml:space="preserve">to the </w:t>
      </w:r>
      <w:r w:rsidR="00F9015B">
        <w:rPr>
          <w:rFonts w:ascii="Calibri" w:hAnsi="Calibri"/>
        </w:rPr>
        <w:t xml:space="preserve">Business Manager and then to the </w:t>
      </w:r>
      <w:r>
        <w:rPr>
          <w:rFonts w:ascii="Calibri" w:hAnsi="Calibri"/>
        </w:rPr>
        <w:t>Principal</w:t>
      </w:r>
      <w:r w:rsidRPr="00877C90">
        <w:rPr>
          <w:rFonts w:ascii="Calibri" w:hAnsi="Calibri"/>
        </w:rPr>
        <w:t xml:space="preserve">.  The </w:t>
      </w:r>
      <w:r>
        <w:rPr>
          <w:rFonts w:ascii="Calibri" w:hAnsi="Calibri"/>
        </w:rPr>
        <w:t xml:space="preserve">Finance </w:t>
      </w:r>
      <w:r w:rsidR="00BB0107">
        <w:rPr>
          <w:rFonts w:ascii="Calibri" w:hAnsi="Calibri"/>
        </w:rPr>
        <w:t>Officer</w:t>
      </w:r>
      <w:r w:rsidRPr="00877C90">
        <w:rPr>
          <w:rFonts w:ascii="Calibri" w:hAnsi="Calibri"/>
        </w:rPr>
        <w:t xml:space="preserve"> 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2900BC" w:rsidRDefault="002900BC" w:rsidP="002D5BAF">
      <w:pPr>
        <w:tabs>
          <w:tab w:val="left" w:pos="720"/>
          <w:tab w:val="left" w:pos="1260"/>
          <w:tab w:val="left" w:pos="2127"/>
          <w:tab w:val="left" w:pos="9498"/>
        </w:tabs>
        <w:spacing w:before="120"/>
        <w:jc w:val="both"/>
        <w:rPr>
          <w:rFonts w:ascii="Calibri" w:hAnsi="Calibri"/>
        </w:rPr>
      </w:pPr>
    </w:p>
    <w:p w:rsidR="002900BC" w:rsidRDefault="002900BC" w:rsidP="002D5BAF">
      <w:pPr>
        <w:tabs>
          <w:tab w:val="left" w:pos="720"/>
          <w:tab w:val="left" w:pos="1260"/>
          <w:tab w:val="left" w:pos="2127"/>
        </w:tabs>
        <w:spacing w:after="360"/>
        <w:ind w:left="1843"/>
        <w:rPr>
          <w:rFonts w:ascii="Calibri" w:eastAsia="Calibri" w:hAnsi="Calibri" w:cs="Times New Roman"/>
        </w:rPr>
      </w:pPr>
      <w:r w:rsidRPr="009B5FE8">
        <w:rPr>
          <w:rFonts w:ascii="Calibri" w:eastAsia="Calibri" w:hAnsi="Calibri" w:cs="Times New Roman"/>
          <w:noProof/>
          <w:lang w:eastAsia="en-AU"/>
        </w:rPr>
        <w:drawing>
          <wp:inline distT="0" distB="0" distL="0" distR="0" wp14:anchorId="1475082E" wp14:editId="68C7820F">
            <wp:extent cx="3343275" cy="22764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2D5BAF">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2D5BAF">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2D5BAF">
      <w:pPr>
        <w:tabs>
          <w:tab w:val="left" w:pos="2520"/>
          <w:tab w:val="left" w:pos="5040"/>
        </w:tabs>
        <w:spacing w:after="120"/>
        <w:rPr>
          <w:rFonts w:ascii="Calibri" w:eastAsia="Calibri" w:hAnsi="Calibri" w:cs="Times New Roman"/>
          <w:sz w:val="20"/>
          <w:szCs w:val="20"/>
        </w:rPr>
      </w:pPr>
      <w:bookmarkStart w:id="0" w:name="_GoBack"/>
      <w:bookmarkEnd w:id="0"/>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2D5BAF">
            <w:pPr>
              <w:spacing w:after="0"/>
              <w:jc w:val="both"/>
              <w:rPr>
                <w:rFonts w:ascii="Calibri" w:eastAsia="Calibri" w:hAnsi="Calibri" w:cs="Times New Roman"/>
                <w:b/>
              </w:rPr>
            </w:pPr>
          </w:p>
          <w:p w:rsidR="00A31568" w:rsidRPr="009B5FE8" w:rsidRDefault="00A31568" w:rsidP="002D5BAF">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2D5BAF">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2D5BAF">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2D5BAF">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2D5BAF">
            <w:pPr>
              <w:spacing w:after="0"/>
              <w:jc w:val="both"/>
              <w:rPr>
                <w:rFonts w:ascii="Calibri" w:eastAsia="Calibri" w:hAnsi="Calibri" w:cs="Times New Roman"/>
                <w:b/>
              </w:rPr>
            </w:pPr>
          </w:p>
          <w:p w:rsidR="00A31568" w:rsidRPr="009B5FE8" w:rsidRDefault="00A31568" w:rsidP="002D5BAF">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2D5BAF">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2D5BAF">
            <w:pPr>
              <w:spacing w:after="0"/>
              <w:jc w:val="both"/>
              <w:rPr>
                <w:rFonts w:ascii="Calibri" w:eastAsia="Calibri" w:hAnsi="Calibri" w:cs="Times New Roman"/>
                <w:b/>
              </w:rPr>
            </w:pPr>
          </w:p>
          <w:p w:rsidR="00A31568" w:rsidRPr="009B5FE8" w:rsidRDefault="00A31568" w:rsidP="002D5BAF">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2D5BAF">
            <w:pPr>
              <w:spacing w:after="0"/>
              <w:jc w:val="both"/>
              <w:rPr>
                <w:rFonts w:ascii="Calibri" w:eastAsia="Calibri" w:hAnsi="Calibri" w:cs="Times New Roman"/>
              </w:rPr>
            </w:pPr>
          </w:p>
        </w:tc>
      </w:tr>
    </w:tbl>
    <w:p w:rsidR="00631013" w:rsidRDefault="00631013" w:rsidP="002D5BAF"/>
    <w:p w:rsidR="00631013" w:rsidRPr="0016096B" w:rsidRDefault="00631013" w:rsidP="002D5BAF"/>
    <w:sectPr w:rsidR="00631013" w:rsidRPr="0016096B" w:rsidSect="00280600">
      <w:footerReference w:type="default" r:id="rId15"/>
      <w:headerReference w:type="first" r:id="rId16"/>
      <w:footerReference w:type="firs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2900BC" w:rsidP="00FE4759">
    <w:pPr>
      <w:pStyle w:val="Footer"/>
      <w:ind w:right="-592"/>
      <w:rPr>
        <w:noProof/>
        <w:sz w:val="18"/>
        <w:szCs w:val="18"/>
      </w:rPr>
    </w:pPr>
    <w:r>
      <w:rPr>
        <w:noProof/>
        <w:sz w:val="18"/>
        <w:szCs w:val="18"/>
        <w:lang w:eastAsia="en-AU"/>
      </w:rPr>
      <w:t xml:space="preserve">PD_Fin </w:t>
    </w:r>
    <w:r w:rsidR="00BB0107">
      <w:rPr>
        <w:noProof/>
        <w:sz w:val="18"/>
        <w:szCs w:val="18"/>
        <w:lang w:eastAsia="en-AU"/>
      </w:rPr>
      <w:t>Officer</w:t>
    </w:r>
    <w:r>
      <w:rPr>
        <w:noProof/>
        <w:sz w:val="18"/>
        <w:szCs w:val="18"/>
        <w:lang w:eastAsia="en-AU"/>
      </w:rPr>
      <w:t>_</w:t>
    </w:r>
    <w:r w:rsidR="00A73925">
      <w:rPr>
        <w:noProof/>
        <w:sz w:val="18"/>
        <w:szCs w:val="18"/>
        <w:lang w:eastAsia="en-AU"/>
      </w:rPr>
      <w:t>Mar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DD6138">
      <w:rPr>
        <w:noProof/>
        <w:sz w:val="18"/>
        <w:szCs w:val="18"/>
      </w:rPr>
      <w:t>5</w:t>
    </w:r>
    <w:r w:rsidR="00FE4759" w:rsidRPr="00E461D8">
      <w:rPr>
        <w:noProof/>
        <w:sz w:val="18"/>
        <w:szCs w:val="18"/>
      </w:rPr>
      <w:fldChar w:fldCharType="end"/>
    </w:r>
    <w:r>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E4759" w:rsidP="00FE4759">
    <w:pPr>
      <w:pStyle w:val="Footer"/>
      <w:ind w:right="-592"/>
      <w:rPr>
        <w:noProof/>
        <w:sz w:val="18"/>
        <w:szCs w:val="18"/>
      </w:rPr>
    </w:pPr>
    <w:r>
      <w:rPr>
        <w:noProof/>
        <w:sz w:val="18"/>
        <w:szCs w:val="18"/>
        <w:lang w:eastAsia="en-AU"/>
      </w:rPr>
      <w:t>&lt;document ID&gt;</w:t>
    </w:r>
    <w:r w:rsidRPr="00E461D8">
      <w:rPr>
        <w:sz w:val="18"/>
        <w:szCs w:val="18"/>
      </w:rPr>
      <w:t xml:space="preserve"> </w:t>
    </w:r>
    <w:r>
      <w:rPr>
        <w:sz w:val="18"/>
        <w:szCs w:val="18"/>
      </w:rPr>
      <w:t>Name of Document</w:t>
    </w:r>
    <w:r>
      <w:rPr>
        <w:sz w:val="18"/>
        <w:szCs w:val="18"/>
      </w:rPr>
      <w:tab/>
    </w:r>
    <w:r w:rsidRPr="00E461D8">
      <w:rPr>
        <w:sz w:val="18"/>
        <w:szCs w:val="18"/>
      </w:rPr>
      <w:tab/>
    </w:r>
    <w:r>
      <w:rPr>
        <w:sz w:val="18"/>
        <w:szCs w:val="18"/>
      </w:rPr>
      <w:t xml:space="preserve"> </w:t>
    </w:r>
    <w:r>
      <w:rPr>
        <w:sz w:val="18"/>
        <w:szCs w:val="18"/>
      </w:rPr>
      <w:tab/>
      <w:t xml:space="preserve"> </w:t>
    </w:r>
    <w:r w:rsidRPr="00E461D8">
      <w:rPr>
        <w:sz w:val="18"/>
        <w:szCs w:val="18"/>
      </w:rPr>
      <w:fldChar w:fldCharType="begin"/>
    </w:r>
    <w:r w:rsidRPr="00E461D8">
      <w:rPr>
        <w:sz w:val="18"/>
        <w:szCs w:val="18"/>
      </w:rPr>
      <w:instrText xml:space="preserve"> PAGE   \* MERGEFORMAT </w:instrText>
    </w:r>
    <w:r w:rsidRPr="00E461D8">
      <w:rPr>
        <w:sz w:val="18"/>
        <w:szCs w:val="18"/>
      </w:rPr>
      <w:fldChar w:fldCharType="separate"/>
    </w:r>
    <w:r w:rsidR="00280600">
      <w:rPr>
        <w:noProof/>
        <w:sz w:val="18"/>
        <w:szCs w:val="18"/>
      </w:rPr>
      <w:t>1</w:t>
    </w:r>
    <w:r w:rsidRPr="00E461D8">
      <w:rPr>
        <w:noProof/>
        <w:sz w:val="18"/>
        <w:szCs w:val="18"/>
      </w:rPr>
      <w:fldChar w:fldCharType="end"/>
    </w:r>
    <w:r w:rsidR="001A64DF">
      <w:rPr>
        <w:noProof/>
        <w:sz w:val="18"/>
        <w:szCs w:val="18"/>
      </w:rPr>
      <w:t>/4</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827"/>
    <w:multiLevelType w:val="hybridMultilevel"/>
    <w:tmpl w:val="358A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D221CE"/>
    <w:multiLevelType w:val="hybridMultilevel"/>
    <w:tmpl w:val="11868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F6EB4"/>
    <w:multiLevelType w:val="hybridMultilevel"/>
    <w:tmpl w:val="3F4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D2002A"/>
    <w:multiLevelType w:val="hybridMultilevel"/>
    <w:tmpl w:val="D2E67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96294"/>
    <w:multiLevelType w:val="hybridMultilevel"/>
    <w:tmpl w:val="3A368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4392728F"/>
    <w:multiLevelType w:val="hybridMultilevel"/>
    <w:tmpl w:val="3D8A3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A65D1B"/>
    <w:multiLevelType w:val="hybridMultilevel"/>
    <w:tmpl w:val="299A52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13771E"/>
    <w:multiLevelType w:val="hybridMultilevel"/>
    <w:tmpl w:val="F996A3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925C8"/>
    <w:multiLevelType w:val="hybridMultilevel"/>
    <w:tmpl w:val="6818FE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17937"/>
    <w:multiLevelType w:val="hybridMultilevel"/>
    <w:tmpl w:val="F15E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AF6F09"/>
    <w:multiLevelType w:val="hybridMultilevel"/>
    <w:tmpl w:val="FAA8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203B3"/>
    <w:multiLevelType w:val="hybridMultilevel"/>
    <w:tmpl w:val="1EC0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1407BC"/>
    <w:multiLevelType w:val="hybridMultilevel"/>
    <w:tmpl w:val="CB68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945BE2"/>
    <w:multiLevelType w:val="hybridMultilevel"/>
    <w:tmpl w:val="AB3A5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8"/>
  </w:num>
  <w:num w:numId="4">
    <w:abstractNumId w:val="22"/>
  </w:num>
  <w:num w:numId="5">
    <w:abstractNumId w:val="11"/>
  </w:num>
  <w:num w:numId="6">
    <w:abstractNumId w:val="13"/>
  </w:num>
  <w:num w:numId="7">
    <w:abstractNumId w:val="14"/>
  </w:num>
  <w:num w:numId="8">
    <w:abstractNumId w:val="19"/>
  </w:num>
  <w:num w:numId="9">
    <w:abstractNumId w:val="0"/>
  </w:num>
  <w:num w:numId="10">
    <w:abstractNumId w:val="20"/>
  </w:num>
  <w:num w:numId="11">
    <w:abstractNumId w:val="12"/>
  </w:num>
  <w:num w:numId="12">
    <w:abstractNumId w:val="21"/>
  </w:num>
  <w:num w:numId="13">
    <w:abstractNumId w:val="15"/>
  </w:num>
  <w:num w:numId="14">
    <w:abstractNumId w:val="16"/>
  </w:num>
  <w:num w:numId="15">
    <w:abstractNumId w:val="1"/>
  </w:num>
  <w:num w:numId="16">
    <w:abstractNumId w:val="2"/>
  </w:num>
  <w:num w:numId="17">
    <w:abstractNumId w:val="18"/>
  </w:num>
  <w:num w:numId="18">
    <w:abstractNumId w:val="5"/>
  </w:num>
  <w:num w:numId="19">
    <w:abstractNumId w:val="7"/>
  </w:num>
  <w:num w:numId="20">
    <w:abstractNumId w:val="10"/>
  </w:num>
  <w:num w:numId="21">
    <w:abstractNumId w:val="3"/>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21C8B"/>
    <w:rsid w:val="000831E3"/>
    <w:rsid w:val="001036BB"/>
    <w:rsid w:val="0016096B"/>
    <w:rsid w:val="00180989"/>
    <w:rsid w:val="001A64DF"/>
    <w:rsid w:val="001E386A"/>
    <w:rsid w:val="002231BF"/>
    <w:rsid w:val="00280600"/>
    <w:rsid w:val="002900BC"/>
    <w:rsid w:val="0029693A"/>
    <w:rsid w:val="002D5BAF"/>
    <w:rsid w:val="003706BC"/>
    <w:rsid w:val="00387612"/>
    <w:rsid w:val="0039544F"/>
    <w:rsid w:val="003C7920"/>
    <w:rsid w:val="003D5C91"/>
    <w:rsid w:val="0042718F"/>
    <w:rsid w:val="004754A5"/>
    <w:rsid w:val="004D7B27"/>
    <w:rsid w:val="005379F4"/>
    <w:rsid w:val="00553484"/>
    <w:rsid w:val="005C3E45"/>
    <w:rsid w:val="005E3A47"/>
    <w:rsid w:val="00631013"/>
    <w:rsid w:val="006554E8"/>
    <w:rsid w:val="00693C47"/>
    <w:rsid w:val="006A0BA0"/>
    <w:rsid w:val="006A75F4"/>
    <w:rsid w:val="006E1AB4"/>
    <w:rsid w:val="007231F6"/>
    <w:rsid w:val="00734C18"/>
    <w:rsid w:val="00773400"/>
    <w:rsid w:val="00787163"/>
    <w:rsid w:val="008465FD"/>
    <w:rsid w:val="00864BF1"/>
    <w:rsid w:val="00873B5C"/>
    <w:rsid w:val="00895092"/>
    <w:rsid w:val="008B0781"/>
    <w:rsid w:val="008C08E7"/>
    <w:rsid w:val="00901033"/>
    <w:rsid w:val="00905198"/>
    <w:rsid w:val="00972563"/>
    <w:rsid w:val="009D4FA6"/>
    <w:rsid w:val="009F65CA"/>
    <w:rsid w:val="009F78EF"/>
    <w:rsid w:val="00A31568"/>
    <w:rsid w:val="00A73925"/>
    <w:rsid w:val="00AA557E"/>
    <w:rsid w:val="00AC39CB"/>
    <w:rsid w:val="00AF29AB"/>
    <w:rsid w:val="00B015A8"/>
    <w:rsid w:val="00B25C99"/>
    <w:rsid w:val="00B32034"/>
    <w:rsid w:val="00BB0107"/>
    <w:rsid w:val="00C55901"/>
    <w:rsid w:val="00CE571A"/>
    <w:rsid w:val="00D05463"/>
    <w:rsid w:val="00D3360C"/>
    <w:rsid w:val="00D741C8"/>
    <w:rsid w:val="00DA6D67"/>
    <w:rsid w:val="00DA7C8C"/>
    <w:rsid w:val="00DD6138"/>
    <w:rsid w:val="00E13A28"/>
    <w:rsid w:val="00E55077"/>
    <w:rsid w:val="00EA4C2F"/>
    <w:rsid w:val="00F344AA"/>
    <w:rsid w:val="00F9015B"/>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4FCE7B"/>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character" w:styleId="Strong">
    <w:name w:val="Strong"/>
    <w:basedOn w:val="DefaultParagraphFont"/>
    <w:uiPriority w:val="22"/>
    <w:qFormat/>
    <w:rsid w:val="009D4FA6"/>
    <w:rPr>
      <w:b/>
      <w:bCs/>
    </w:rPr>
  </w:style>
  <w:style w:type="paragraph" w:styleId="BalloonText">
    <w:name w:val="Balloon Text"/>
    <w:basedOn w:val="Normal"/>
    <w:link w:val="BalloonTextChar"/>
    <w:uiPriority w:val="99"/>
    <w:semiHidden/>
    <w:unhideWhenUsed/>
    <w:rsid w:val="008B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81"/>
    <w:rPr>
      <w:rFonts w:ascii="Segoe UI" w:hAnsi="Segoe UI" w:cs="Segoe UI"/>
      <w:sz w:val="18"/>
      <w:szCs w:val="18"/>
    </w:rPr>
  </w:style>
  <w:style w:type="paragraph" w:styleId="Revision">
    <w:name w:val="Revision"/>
    <w:hidden/>
    <w:uiPriority w:val="99"/>
    <w:semiHidden/>
    <w:rsid w:val="00DD6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The Principal</a:t>
          </a:r>
          <a:endParaRPr lang="en-US" sz="1100">
            <a:solidFill>
              <a:sysClr val="windowText" lastClr="000000">
                <a:hueOff val="0"/>
                <a:satOff val="0"/>
                <a:lumOff val="0"/>
                <a:alphaOff val="0"/>
              </a:sysClr>
            </a:solidFill>
            <a:latin typeface="Calibri"/>
            <a:ea typeface="+mn-ea"/>
            <a:cs typeface="+mn-cs"/>
          </a:endParaRP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3655F">
              <a:shade val="80000"/>
              <a:hueOff val="0"/>
              <a:satOff val="0"/>
              <a:lumOff val="0"/>
              <a:alphaOff val="0"/>
            </a:srgbClr>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Business Manager</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92D050"/>
        </a:solidFill>
        <a:ln w="25400" cap="flat" cmpd="sng" algn="ctr">
          <a:solidFill>
            <a:srgbClr val="03655F">
              <a:shade val="80000"/>
              <a:hueOff val="0"/>
              <a:satOff val="0"/>
              <a:lumOff val="0"/>
              <a:alphaOff val="0"/>
            </a:srgbClr>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Finance Officer</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D1FA727A-CA51-4B24-8BD1-4C322F584C80}" srcId="{C9AB05A8-76AA-444D-9D0B-F82747669038}" destId="{03776B35-6026-4727-B57E-51B9A20B1691}" srcOrd="0" destOrd="0" parTransId="{FA7A8E12-A453-4FE3-B39F-1DA818075FE3}" sibTransId="{410BC66A-E193-49E9-9F5D-C3765DF2983F}"/>
    <dgm:cxn modelId="{30F57577-14B5-43E0-82B3-ADCA5CB3C4C0}" type="presOf" srcId="{8DA0AB47-70A0-442C-9D99-B63B19FE2A18}" destId="{7B1D0557-7AD7-4FAC-B44F-BF28A322CCC7}"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43A3F31E-D9B5-429E-A2AF-AAC04FC5885A}" type="presOf" srcId="{C9AB05A8-76AA-444D-9D0B-F82747669038}" destId="{15591DC8-79C1-4CDD-BF77-8C76B8C8BA23}" srcOrd="0" destOrd="0" presId="urn:microsoft.com/office/officeart/2005/8/layout/orgChart1"/>
    <dgm:cxn modelId="{B6DDE719-9D54-4F9D-9691-4AF6D65E4E09}" type="presOf" srcId="{FA7A8E12-A453-4FE3-B39F-1DA818075FE3}" destId="{AAF2A304-C1D6-4358-A3F9-81C13D5793AA}"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123824B9-A40B-4F1F-AE4D-E8EE816837BA}" type="presOf" srcId="{8948E4F9-BCDF-4AAC-A5EC-4BFF645A8867}" destId="{C73B99B6-4B01-46A3-B877-9B095624C988}"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D909907D-CAAA-45FE-AFB6-654068870173}" type="presOf" srcId="{6460F6EB-C253-4D21-878D-51B3BFA61A51}" destId="{9A4E9172-1704-43FF-9AC4-7450FAFF2A0F}"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F3F77BA0-EB9A-4A08-824E-D3D6919D1A3C}" type="presOf" srcId="{8948E4F9-BCDF-4AAC-A5EC-4BFF645A8867}" destId="{99F39028-E1AE-4039-92BF-D71C94E7F959}"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19C9D15-5D79-4368-BCD4-115234CB2946}" type="presOf" srcId="{03776B35-6026-4727-B57E-51B9A20B1691}" destId="{08033261-74B5-423E-8ABC-B5D17A09B148}"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837059" y="1661685"/>
          <a:ext cx="238450" cy="397993"/>
        </a:xfrm>
        <a:custGeom>
          <a:avLst/>
          <a:gdLst/>
          <a:ahLst/>
          <a:cxnLst/>
          <a:rect l="0" t="0" r="0" b="0"/>
          <a:pathLst>
            <a:path>
              <a:moveTo>
                <a:pt x="0" y="0"/>
              </a:moveTo>
              <a:lnTo>
                <a:pt x="0" y="339400"/>
              </a:lnTo>
              <a:lnTo>
                <a:pt x="203345" y="339400"/>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427208" y="1047391"/>
          <a:ext cx="91440" cy="181692"/>
        </a:xfrm>
        <a:custGeom>
          <a:avLst/>
          <a:gdLst/>
          <a:ahLst/>
          <a:cxnLst/>
          <a:rect l="0" t="0" r="0" b="0"/>
          <a:pathLst>
            <a:path>
              <a:moveTo>
                <a:pt x="45720" y="0"/>
              </a:moveTo>
              <a:lnTo>
                <a:pt x="45720" y="154943"/>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427208" y="433097"/>
          <a:ext cx="91440" cy="181692"/>
        </a:xfrm>
        <a:custGeom>
          <a:avLst/>
          <a:gdLst/>
          <a:ahLst/>
          <a:cxnLst/>
          <a:rect l="0" t="0" r="0" b="0"/>
          <a:pathLst>
            <a:path>
              <a:moveTo>
                <a:pt x="45720" y="0"/>
              </a:moveTo>
              <a:lnTo>
                <a:pt x="45720" y="154943"/>
              </a:lnTo>
            </a:path>
          </a:pathLst>
        </a:custGeom>
        <a:noFill/>
        <a:ln w="25400" cap="flat" cmpd="sng" algn="ctr">
          <a:solidFill>
            <a:srgbClr val="03655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678092" y="495"/>
          <a:ext cx="1589672" cy="432601"/>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678092" y="495"/>
        <a:ext cx="1589672" cy="432601"/>
      </dsp:txXfrm>
    </dsp:sp>
    <dsp:sp modelId="{15591DC8-79C1-4CDD-BF77-8C76B8C8BA23}">
      <dsp:nvSpPr>
        <dsp:cNvPr id="0" name=""/>
        <dsp:cNvSpPr/>
      </dsp:nvSpPr>
      <dsp:spPr>
        <a:xfrm>
          <a:off x="678092" y="614789"/>
          <a:ext cx="1589672" cy="432601"/>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The Principal</a:t>
          </a:r>
          <a:endParaRPr lang="en-US" sz="1100" kern="1200">
            <a:solidFill>
              <a:sysClr val="windowText" lastClr="000000">
                <a:hueOff val="0"/>
                <a:satOff val="0"/>
                <a:lumOff val="0"/>
                <a:alphaOff val="0"/>
              </a:sysClr>
            </a:solidFill>
            <a:latin typeface="Calibri"/>
            <a:ea typeface="+mn-ea"/>
            <a:cs typeface="+mn-cs"/>
          </a:endParaRPr>
        </a:p>
      </dsp:txBody>
      <dsp:txXfrm>
        <a:off x="678092" y="614789"/>
        <a:ext cx="1589672" cy="432601"/>
      </dsp:txXfrm>
    </dsp:sp>
    <dsp:sp modelId="{9B460021-CAD8-4239-A73B-F8A4F2806897}">
      <dsp:nvSpPr>
        <dsp:cNvPr id="0" name=""/>
        <dsp:cNvSpPr/>
      </dsp:nvSpPr>
      <dsp:spPr>
        <a:xfrm>
          <a:off x="678092" y="1229083"/>
          <a:ext cx="1589672" cy="432601"/>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Business Manager</a:t>
          </a:r>
        </a:p>
      </dsp:txBody>
      <dsp:txXfrm>
        <a:off x="678092" y="1229083"/>
        <a:ext cx="1589672" cy="432601"/>
      </dsp:txXfrm>
    </dsp:sp>
    <dsp:sp modelId="{C73B99B6-4B01-46A3-B877-9B095624C988}">
      <dsp:nvSpPr>
        <dsp:cNvPr id="0" name=""/>
        <dsp:cNvSpPr/>
      </dsp:nvSpPr>
      <dsp:spPr>
        <a:xfrm>
          <a:off x="1075510" y="1843377"/>
          <a:ext cx="1589672" cy="432601"/>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Finance Officer</a:t>
          </a:r>
        </a:p>
      </dsp:txBody>
      <dsp:txXfrm>
        <a:off x="1075510" y="1843377"/>
        <a:ext cx="1589672" cy="4326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Laura Sands</cp:lastModifiedBy>
  <cp:revision>3</cp:revision>
  <dcterms:created xsi:type="dcterms:W3CDTF">2021-03-25T23:28:00Z</dcterms:created>
  <dcterms:modified xsi:type="dcterms:W3CDTF">2021-03-25T23:38:00Z</dcterms:modified>
</cp:coreProperties>
</file>