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31088AFF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2FC917CD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50A2F208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62BFF97" w14:textId="5585FDB5" w:rsidR="00A431E5" w:rsidRDefault="00A431E5" w:rsidP="00E65571">
          <w:pPr>
            <w:pStyle w:val="BodyText"/>
            <w:rPr>
              <w:b/>
              <w:sz w:val="24"/>
            </w:rPr>
          </w:pPr>
          <w:r>
            <w:rPr>
              <w:b/>
              <w:sz w:val="24"/>
            </w:rPr>
            <w:t>Finance &amp; Commercial Services</w:t>
          </w:r>
          <w:r w:rsidRPr="00E65571">
            <w:rPr>
              <w:b/>
              <w:sz w:val="24"/>
            </w:rPr>
            <w:t xml:space="preserve"> </w:t>
          </w:r>
        </w:p>
        <w:p w14:paraId="30F8FFCD" w14:textId="2B9CC965" w:rsidR="00E65571" w:rsidRPr="00E65571" w:rsidRDefault="00E65571" w:rsidP="00E65571">
          <w:pPr>
            <w:pStyle w:val="BodyText"/>
          </w:pPr>
          <w:r w:rsidRPr="00E65571">
            <w:rPr>
              <w:b/>
              <w:sz w:val="24"/>
            </w:rPr>
            <w:t>Reporting to</w:t>
          </w:r>
          <w:r w:rsidR="006D1C44">
            <w:rPr>
              <w:b/>
              <w:sz w:val="24"/>
            </w:rPr>
            <w:t xml:space="preserve"> Financial Accounting Manager</w:t>
          </w:r>
        </w:p>
        <w:p w14:paraId="5B7A1AF0" w14:textId="77777777" w:rsidR="00A5597A" w:rsidRPr="00B501BE" w:rsidRDefault="00A5597A" w:rsidP="00A5597A">
          <w:pPr>
            <w:pStyle w:val="Heading2"/>
          </w:pPr>
          <w:bookmarkStart w:id="3" w:name="_Hlk14336733"/>
          <w:r w:rsidRPr="00B501BE">
            <w:t>Position Purpose</w:t>
          </w:r>
        </w:p>
        <w:p w14:paraId="76683D41" w14:textId="77777777" w:rsidR="00A5597A" w:rsidRDefault="000D6161" w:rsidP="00A5597A">
          <w:pPr>
            <w:pStyle w:val="BodyText"/>
          </w:pPr>
          <w:r>
            <w:t>R</w:t>
          </w:r>
          <w:r w:rsidR="00A431E5" w:rsidRPr="00A431E5">
            <w:t>esponsible for the</w:t>
          </w:r>
          <w:r>
            <w:t xml:space="preserve"> timely, accurate and efficient</w:t>
          </w:r>
          <w:r w:rsidR="00A431E5" w:rsidRPr="00A431E5">
            <w:t xml:space="preserve"> processing of</w:t>
          </w:r>
          <w:r>
            <w:t xml:space="preserve"> vendor</w:t>
          </w:r>
          <w:r w:rsidR="00A431E5" w:rsidRPr="00A431E5">
            <w:t xml:space="preserve"> invoices for accounts payable</w:t>
          </w:r>
          <w:r>
            <w:t xml:space="preserve"> and</w:t>
          </w:r>
          <w:r w:rsidR="00A431E5" w:rsidRPr="00A431E5">
            <w:t xml:space="preserve"> the payment of </w:t>
          </w:r>
          <w:proofErr w:type="spellStart"/>
          <w:r w:rsidR="00A431E5" w:rsidRPr="00A431E5">
            <w:t>WaterNSW’s</w:t>
          </w:r>
          <w:proofErr w:type="spellEnd"/>
          <w:r w:rsidR="00A431E5" w:rsidRPr="00A431E5">
            <w:t xml:space="preserve"> creditors</w:t>
          </w:r>
          <w:r>
            <w:t>. Provide advice for WaterNSW Accounts Payable processes and procedures. M</w:t>
          </w:r>
          <w:r w:rsidR="00A431E5" w:rsidRPr="00A431E5">
            <w:t xml:space="preserve">aintenance and administration of </w:t>
          </w:r>
          <w:r>
            <w:t xml:space="preserve">WaterNSW purchase </w:t>
          </w:r>
          <w:r w:rsidR="00A431E5" w:rsidRPr="00A431E5">
            <w:t>cards</w:t>
          </w:r>
          <w:r w:rsidR="00A431E5" w:rsidRPr="00E4620D">
            <w:t xml:space="preserve"> </w:t>
          </w:r>
          <w:r w:rsidR="00A5597A">
            <w:t>and put safety first.</w:t>
          </w:r>
        </w:p>
        <w:p w14:paraId="1802DF2D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41387EDD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2F67C2FF" w14:textId="77777777" w:rsidR="00A5597A" w:rsidRPr="00995E83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995E83">
            <w:rPr>
              <w:b/>
            </w:rPr>
            <w:t>Values:</w:t>
          </w:r>
          <w:r w:rsidRPr="00995E83">
            <w:rPr>
              <w:lang w:eastAsia="x-none"/>
            </w:rPr>
            <w:t xml:space="preserve"> behave and make decisions in accordance with th</w:t>
          </w:r>
          <w:r w:rsidRPr="00995E83">
            <w:rPr>
              <w:color w:val="000000" w:themeColor="text1"/>
            </w:rPr>
            <w:t xml:space="preserve">e WaterNSW Values at all times. </w:t>
          </w:r>
        </w:p>
        <w:p w14:paraId="3AB07AE4" w14:textId="77777777" w:rsidR="00A431E5" w:rsidRPr="000D6161" w:rsidRDefault="00387E2B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t>Review, p</w:t>
          </w:r>
          <w:r w:rsidR="00A431E5" w:rsidRPr="00995E83">
            <w:t>rocess and pay</w:t>
          </w:r>
          <w:r w:rsidR="000D6161">
            <w:t xml:space="preserve"> vendor</w:t>
          </w:r>
          <w:r w:rsidR="00A431E5" w:rsidRPr="00995E83">
            <w:t xml:space="preserve"> invoices within the required timeframes</w:t>
          </w:r>
          <w:r w:rsidR="00126ABC" w:rsidRPr="00995E83">
            <w:t xml:space="preserve"> ensuring they meet auditing, taxation, </w:t>
          </w:r>
          <w:r w:rsidR="000D6161">
            <w:t xml:space="preserve">contract, vendor </w:t>
          </w:r>
          <w:r w:rsidR="00126ABC" w:rsidRPr="00995E83">
            <w:t>payment terms and WaterNSW requirements</w:t>
          </w:r>
          <w:r w:rsidR="00A431E5" w:rsidRPr="00995E83">
            <w:t>.</w:t>
          </w:r>
        </w:p>
        <w:p w14:paraId="1F6756E5" w14:textId="77777777" w:rsidR="000D6161" w:rsidRPr="00995E83" w:rsidRDefault="000D6161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Facilitate </w:t>
          </w:r>
          <w:r w:rsidR="003F1100">
            <w:rPr>
              <w:color w:val="000000" w:themeColor="text1"/>
              <w:lang w:eastAsia="x-none"/>
            </w:rPr>
            <w:t xml:space="preserve">and reconcile </w:t>
          </w:r>
          <w:r>
            <w:rPr>
              <w:color w:val="000000" w:themeColor="text1"/>
              <w:lang w:eastAsia="x-none"/>
            </w:rPr>
            <w:t>weekly payment runs to creditors</w:t>
          </w:r>
          <w:r w:rsidR="00387E2B">
            <w:rPr>
              <w:color w:val="000000" w:themeColor="text1"/>
              <w:lang w:eastAsia="x-none"/>
            </w:rPr>
            <w:t>, including cash flow monitoring</w:t>
          </w:r>
          <w:r>
            <w:rPr>
              <w:color w:val="000000" w:themeColor="text1"/>
              <w:lang w:eastAsia="x-none"/>
            </w:rPr>
            <w:t>.</w:t>
          </w:r>
        </w:p>
        <w:p w14:paraId="5A7D4F67" w14:textId="0A76FBB2" w:rsidR="000D6161" w:rsidRDefault="00537CE6" w:rsidP="000D6161">
          <w:pPr>
            <w:pStyle w:val="ListNumber0"/>
            <w:rPr>
              <w:color w:val="000000" w:themeColor="text1"/>
              <w:lang w:eastAsia="x-none"/>
            </w:rPr>
          </w:pPr>
          <w:r w:rsidRPr="00995E83">
            <w:rPr>
              <w:color w:val="000000" w:themeColor="text1"/>
              <w:lang w:eastAsia="x-none"/>
            </w:rPr>
            <w:t xml:space="preserve">Ensure the accurate processing of </w:t>
          </w:r>
          <w:r w:rsidR="00DB122D">
            <w:rPr>
              <w:color w:val="000000" w:themeColor="text1"/>
              <w:lang w:eastAsia="x-none"/>
            </w:rPr>
            <w:t>invoices including GST and ABN compliance.</w:t>
          </w:r>
        </w:p>
        <w:p w14:paraId="11A285ED" w14:textId="22F899A9" w:rsidR="001F6AE8" w:rsidRPr="000D6161" w:rsidRDefault="001F6AE8" w:rsidP="000D6161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rFonts w:cs="Arial"/>
            </w:rPr>
            <w:t>Ensure WaterNSW compliance with audit processes, GST and tax legislation</w:t>
          </w:r>
          <w:r w:rsidRPr="008D30CF">
            <w:rPr>
              <w:color w:val="000000" w:themeColor="text1"/>
              <w:lang w:eastAsia="x-none"/>
            </w:rPr>
            <w:t>.</w:t>
          </w:r>
        </w:p>
        <w:p w14:paraId="145C15CF" w14:textId="77777777" w:rsidR="00537CE6" w:rsidRPr="00995E83" w:rsidRDefault="003F1100" w:rsidP="00537CE6">
          <w:pPr>
            <w:pStyle w:val="ListNumber0"/>
            <w:rPr>
              <w:color w:val="000000" w:themeColor="text1"/>
              <w:lang w:eastAsia="x-none"/>
            </w:rPr>
          </w:pPr>
          <w:r>
            <w:t xml:space="preserve">Maintain highly efficient, accurate, professional and timely communication with external and internal customers </w:t>
          </w:r>
          <w:r w:rsidRPr="00995E83">
            <w:rPr>
              <w:color w:val="000000" w:themeColor="text1"/>
              <w:lang w:eastAsia="x-none"/>
            </w:rPr>
            <w:t>with day to day accounts payable inquiries.</w:t>
          </w:r>
          <w:r w:rsidRPr="003F1100">
            <w:t xml:space="preserve"> </w:t>
          </w:r>
          <w:r>
            <w:t xml:space="preserve"> </w:t>
          </w:r>
        </w:p>
        <w:bookmarkEnd w:id="3"/>
        <w:p w14:paraId="1E53636A" w14:textId="77777777" w:rsidR="000D6161" w:rsidRDefault="000D6161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Maintain accurate financial records including month end reporting.</w:t>
          </w:r>
        </w:p>
        <w:p w14:paraId="00198E09" w14:textId="77777777" w:rsidR="003F1100" w:rsidRPr="003F1100" w:rsidRDefault="00DB122D" w:rsidP="003F1100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>Respond to accounts payable incoming correspondence and enquiries received by phone, mail and email</w:t>
          </w:r>
          <w:r w:rsidR="003F1100" w:rsidRPr="00995E83">
            <w:rPr>
              <w:color w:val="000000" w:themeColor="text1"/>
              <w:lang w:eastAsia="x-none"/>
            </w:rPr>
            <w:t xml:space="preserve">. </w:t>
          </w:r>
        </w:p>
        <w:p w14:paraId="6AD81534" w14:textId="6AB735C6" w:rsidR="000D6161" w:rsidRDefault="000D6161" w:rsidP="00BE5E34">
          <w:pPr>
            <w:pStyle w:val="ListNumber0"/>
          </w:pPr>
          <w:r>
            <w:t>Support routine upgrades and maintenance to finance system including participating in UAT.</w:t>
          </w:r>
        </w:p>
        <w:p w14:paraId="7EB24D12" w14:textId="1196CABE" w:rsidR="00DB122D" w:rsidRDefault="00DB122D" w:rsidP="000D6161">
          <w:pPr>
            <w:pStyle w:val="ListNumber0"/>
          </w:pPr>
          <w:r>
            <w:t>Monitor the bank account for rejected EFT’s, refunds, payment file accuracy and ensure funds are available for payments.</w:t>
          </w:r>
        </w:p>
        <w:p w14:paraId="19439C02" w14:textId="77777777" w:rsidR="00A5597A" w:rsidRDefault="00A5597A" w:rsidP="00A5597A">
          <w:pPr>
            <w:pStyle w:val="Heading2"/>
          </w:pPr>
          <w:r>
            <w:lastRenderedPageBreak/>
            <w:t>Key Challenges</w:t>
          </w:r>
        </w:p>
        <w:p w14:paraId="61F2A59E" w14:textId="66F0F822" w:rsidR="00995E83" w:rsidRPr="001F6AE8" w:rsidRDefault="003F1100" w:rsidP="001F6AE8">
          <w:pPr>
            <w:pStyle w:val="BodyText"/>
            <w:numPr>
              <w:ilvl w:val="0"/>
              <w:numId w:val="24"/>
            </w:numPr>
            <w:rPr>
              <w:color w:val="000000" w:themeColor="text1"/>
              <w:lang w:eastAsia="x-none"/>
            </w:rPr>
          </w:pPr>
          <w:r>
            <w:rPr>
              <w:color w:val="000000" w:themeColor="text1"/>
              <w:lang w:eastAsia="x-none"/>
            </w:rPr>
            <w:t xml:space="preserve">Ability to work under pressure with conflicting deadlines and </w:t>
          </w:r>
          <w:r w:rsidRPr="008D30CF">
            <w:rPr>
              <w:color w:val="000000" w:themeColor="text1"/>
              <w:lang w:eastAsia="x-none"/>
            </w:rPr>
            <w:t>competing priorities due to high volume environment whilst ensuring accuracy</w:t>
          </w:r>
          <w:r w:rsidR="001F6AE8">
            <w:rPr>
              <w:color w:val="000000" w:themeColor="text1"/>
              <w:lang w:eastAsia="x-none"/>
            </w:rPr>
            <w:t xml:space="preserve">, </w:t>
          </w:r>
          <w:r w:rsidRPr="008D30CF">
            <w:rPr>
              <w:color w:val="000000" w:themeColor="text1"/>
              <w:lang w:eastAsia="x-none"/>
            </w:rPr>
            <w:t>attention to detail</w:t>
          </w:r>
          <w:r w:rsidR="001F6AE8">
            <w:rPr>
              <w:color w:val="000000" w:themeColor="text1"/>
              <w:lang w:eastAsia="x-none"/>
            </w:rPr>
            <w:t xml:space="preserve"> and compliance</w:t>
          </w:r>
          <w:r>
            <w:rPr>
              <w:color w:val="000000" w:themeColor="text1"/>
              <w:lang w:eastAsia="x-none"/>
            </w:rPr>
            <w:t>.</w:t>
          </w:r>
        </w:p>
        <w:p w14:paraId="34C89B88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03B5CC4C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F0370EC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120FD046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36F80F75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06B424B" w14:textId="77777777" w:rsidR="0093761E" w:rsidRDefault="005F7C31" w:rsidP="0093761E">
                <w:pPr>
                  <w:pStyle w:val="TableText"/>
                </w:pPr>
                <w:r w:rsidRPr="008D30CF">
                  <w:rPr>
                    <w:color w:val="auto"/>
                  </w:rPr>
                  <w:t>WaterNSW employees</w:t>
                </w:r>
              </w:p>
            </w:tc>
            <w:tc>
              <w:tcPr>
                <w:tcW w:w="4819" w:type="dxa"/>
              </w:tcPr>
              <w:p w14:paraId="5DDB2A69" w14:textId="77777777" w:rsidR="00323F0F" w:rsidRDefault="00E079DA" w:rsidP="0093761E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Daily interactions with WaterNSW staff</w:t>
                </w:r>
                <w:r w:rsidR="00323F0F">
                  <w:t>:</w:t>
                </w:r>
              </w:p>
              <w:p w14:paraId="3BF6DF07" w14:textId="77777777" w:rsidR="0093761E" w:rsidRDefault="00323F0F" w:rsidP="00323F0F">
                <w:pPr>
                  <w:pStyle w:val="TableText"/>
                  <w:numPr>
                    <w:ilvl w:val="0"/>
                    <w:numId w:val="2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 ensure invoices are actioned for payment; and</w:t>
                </w:r>
              </w:p>
              <w:p w14:paraId="08D6E411" w14:textId="77777777" w:rsidR="00323F0F" w:rsidRDefault="00323F0F" w:rsidP="00323F0F">
                <w:pPr>
                  <w:pStyle w:val="TableText"/>
                  <w:numPr>
                    <w:ilvl w:val="0"/>
                    <w:numId w:val="2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enquiries relating to invoices &amp; </w:t>
                </w:r>
                <w:r w:rsidR="00DB122D">
                  <w:t>payments</w:t>
                </w:r>
                <w:r>
                  <w:t>.</w:t>
                </w:r>
              </w:p>
            </w:tc>
          </w:tr>
          <w:tr w:rsidR="00A2136D" w14:paraId="06538A83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575C695" w14:textId="77777777" w:rsidR="00A2136D" w:rsidRPr="008D30CF" w:rsidRDefault="00A2136D" w:rsidP="0093761E">
                <w:pPr>
                  <w:pStyle w:val="TableText"/>
                </w:pPr>
                <w:r w:rsidRPr="00A2136D">
                  <w:rPr>
                    <w:color w:val="auto"/>
                  </w:rPr>
                  <w:t>Financial Controller</w:t>
                </w:r>
              </w:p>
            </w:tc>
            <w:tc>
              <w:tcPr>
                <w:tcW w:w="4819" w:type="dxa"/>
              </w:tcPr>
              <w:p w14:paraId="72501C1D" w14:textId="77777777" w:rsidR="00A2136D" w:rsidRDefault="00A2136D" w:rsidP="0093761E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Provide high quality Accounts Payable processing and support</w:t>
                </w:r>
              </w:p>
            </w:tc>
          </w:tr>
        </w:tbl>
        <w:p w14:paraId="4DF56E60" w14:textId="77777777" w:rsidR="00436F87" w:rsidRDefault="00436F87" w:rsidP="00436F87">
          <w:pPr>
            <w:pStyle w:val="Heading2"/>
          </w:pPr>
          <w:r>
            <w:t xml:space="preserve">Significant </w:t>
          </w:r>
          <w:bookmarkStart w:id="4" w:name="_Hlk14338204"/>
          <w:r>
            <w:t>External Relationships</w:t>
          </w:r>
          <w:bookmarkEnd w:id="4"/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116C7F6A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B9827D9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773D9AE7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5BF766FD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A60C3C7" w14:textId="77777777" w:rsidR="00436F87" w:rsidRPr="009B5E34" w:rsidRDefault="008D30CF" w:rsidP="009B5E34">
                <w:pPr>
                  <w:pStyle w:val="TableText"/>
                </w:pPr>
                <w:r w:rsidRPr="008D30CF">
                  <w:rPr>
                    <w:color w:val="auto"/>
                  </w:rPr>
                  <w:t>Vendors</w:t>
                </w:r>
              </w:p>
            </w:tc>
            <w:tc>
              <w:tcPr>
                <w:tcW w:w="4819" w:type="dxa"/>
              </w:tcPr>
              <w:p w14:paraId="3D435A99" w14:textId="77777777" w:rsidR="00436F87" w:rsidRPr="009B5E34" w:rsidRDefault="008D30CF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Liaise with vendors to ensure their payments and enquiries are actioned in a timely manner</w:t>
                </w:r>
              </w:p>
            </w:tc>
          </w:tr>
        </w:tbl>
        <w:p w14:paraId="3D36D5B9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7BB1DD90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718DE8D4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14:paraId="1987365A" w14:textId="77777777" w:rsidTr="000664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C29EF3F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1FCC22D3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7560B185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4912BCF8" w14:textId="77777777" w:rsidTr="00066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33CD80F" w14:textId="19147023" w:rsidR="00436F87" w:rsidRDefault="00066432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899" w:type="dxa"/>
              </w:tcPr>
              <w:p w14:paraId="0039AE97" w14:textId="09FA72B8" w:rsidR="00436F87" w:rsidRDefault="00066432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39A93707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Tailors communication to suit the audience and uses a range of influencing techniques to build support</w:t>
                </w:r>
              </w:p>
              <w:p w14:paraId="2BB0E7D4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Supports messages with relevant examples, demonstrations and stories</w:t>
                </w:r>
              </w:p>
              <w:p w14:paraId="3CBA7327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Communicates issues clearly with different audiences</w:t>
                </w:r>
              </w:p>
              <w:p w14:paraId="3FEB8323" w14:textId="11A145FF" w:rsidR="00436F87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lastRenderedPageBreak/>
                  <w:t>Handles challenging questions confidently and constructively</w:t>
                </w:r>
              </w:p>
            </w:tc>
          </w:tr>
          <w:tr w:rsidR="00066432" w14:paraId="314F0A9E" w14:textId="77777777" w:rsidTr="0006643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81551DF" w14:textId="51186A88" w:rsidR="00066432" w:rsidRDefault="00066432" w:rsidP="00436F87">
                <w:pPr>
                  <w:pStyle w:val="TableText"/>
                </w:pPr>
                <w:r>
                  <w:lastRenderedPageBreak/>
                  <w:t>Awareness and Personal Resilience</w:t>
                </w:r>
              </w:p>
            </w:tc>
            <w:tc>
              <w:tcPr>
                <w:tcW w:w="899" w:type="dxa"/>
              </w:tcPr>
              <w:p w14:paraId="54F2AE07" w14:textId="30BBC2A4" w:rsidR="00066432" w:rsidRDefault="00066432" w:rsidP="00436F8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6716B59E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spellStart"/>
                <w:r w:rsidRPr="00066432">
                  <w:rPr>
                    <w:lang w:val="en-US"/>
                  </w:rPr>
                  <w:t>Recognises</w:t>
                </w:r>
                <w:proofErr w:type="spellEnd"/>
                <w:r w:rsidRPr="00066432">
                  <w:rPr>
                    <w:lang w:val="en-US"/>
                  </w:rPr>
                  <w:t xml:space="preserve"> own emotions and their effects, and is always aware of own response to pressure and change</w:t>
                </w:r>
              </w:p>
              <w:p w14:paraId="6D425665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Uses effective strategies to stay calm and composed under pressure </w:t>
                </w:r>
              </w:p>
              <w:p w14:paraId="24F96564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Continuously demonstrates personal integrity, honesty and sincerity</w:t>
                </w:r>
              </w:p>
              <w:p w14:paraId="7D0B3076" w14:textId="3556029B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 </w:t>
                </w:r>
                <w:proofErr w:type="spellStart"/>
                <w:r w:rsidRPr="00066432">
                  <w:rPr>
                    <w:lang w:val="en-US"/>
                  </w:rPr>
                  <w:t>Recognises</w:t>
                </w:r>
                <w:proofErr w:type="spellEnd"/>
                <w:r w:rsidRPr="00066432">
                  <w:rPr>
                    <w:lang w:val="en-US"/>
                  </w:rPr>
                  <w:t xml:space="preserve"> when to ask for support when under stress </w:t>
                </w:r>
              </w:p>
            </w:tc>
          </w:tr>
          <w:tr w:rsidR="00066432" w14:paraId="1FAE1F2D" w14:textId="77777777" w:rsidTr="00066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5642A2D" w14:textId="2547FD4C" w:rsidR="00066432" w:rsidRDefault="00066432" w:rsidP="00436F87">
                <w:pPr>
                  <w:pStyle w:val="TableText"/>
                </w:pPr>
                <w:r>
                  <w:t>Managing Change</w:t>
                </w:r>
              </w:p>
            </w:tc>
            <w:tc>
              <w:tcPr>
                <w:tcW w:w="899" w:type="dxa"/>
              </w:tcPr>
              <w:p w14:paraId="2EB2DC83" w14:textId="55CD198F" w:rsidR="00066432" w:rsidRDefault="00066432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0BDA62FC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Maintains a positive attitude during times of change </w:t>
                </w:r>
              </w:p>
              <w:p w14:paraId="54140FD3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Works effectively even when faced with disruption and uncertainty </w:t>
                </w:r>
              </w:p>
              <w:p w14:paraId="1EC2511A" w14:textId="0C5CFC7E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Supports others during times of change</w:t>
                </w:r>
                <w:bookmarkStart w:id="5" w:name="_GoBack"/>
                <w:bookmarkEnd w:id="5"/>
              </w:p>
            </w:tc>
          </w:tr>
        </w:tbl>
        <w:p w14:paraId="6EE8437E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353B1291" w14:textId="77777777" w:rsidTr="000664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F722AF6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99" w:type="dxa"/>
              </w:tcPr>
              <w:p w14:paraId="39E718AD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71AA819B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3BCFF93" w14:textId="77777777" w:rsidTr="00066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4416DF" w14:textId="2B4296E7" w:rsidR="00436F87" w:rsidRDefault="00066432" w:rsidP="00365001">
                <w:pPr>
                  <w:pStyle w:val="TableText"/>
                </w:pPr>
                <w:r>
                  <w:t>Customer &amp; Service Responsiveness</w:t>
                </w:r>
              </w:p>
            </w:tc>
            <w:tc>
              <w:tcPr>
                <w:tcW w:w="899" w:type="dxa"/>
              </w:tcPr>
              <w:p w14:paraId="6D2E4CD0" w14:textId="34A3E9D8" w:rsidR="00436F87" w:rsidRDefault="00066432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5C66575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Seeks to deeply understand customers and their needs </w:t>
                </w:r>
              </w:p>
              <w:p w14:paraId="072F1957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Takes responsibility for meeting customers’ needs and resolving escalated customer issues </w:t>
                </w:r>
              </w:p>
              <w:p w14:paraId="34EBDE4C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Establish project plans to deliver quality services </w:t>
                </w:r>
              </w:p>
              <w:p w14:paraId="57BBCC38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Suggests improvements to deliver a better customer experience </w:t>
                </w:r>
              </w:p>
              <w:p w14:paraId="2445C5AB" w14:textId="101B3FA7" w:rsidR="00436F87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Expands and uses professional and business knowledge to meet customer needs </w:t>
                </w:r>
              </w:p>
            </w:tc>
          </w:tr>
        </w:tbl>
        <w:p w14:paraId="24A564B3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33E808F8" w14:textId="77777777" w:rsidTr="000664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814E6A3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99" w:type="dxa"/>
              </w:tcPr>
              <w:p w14:paraId="54E10395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57535B7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0C7F569C" w14:textId="77777777" w:rsidTr="00066432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7ACE2CA" w14:textId="6712F5A8" w:rsidR="00436F87" w:rsidRDefault="00066432" w:rsidP="00365001">
                <w:pPr>
                  <w:pStyle w:val="TableText"/>
                </w:pPr>
                <w:r>
                  <w:lastRenderedPageBreak/>
                  <w:t>Continuous Improvement</w:t>
                </w:r>
              </w:p>
            </w:tc>
            <w:tc>
              <w:tcPr>
                <w:tcW w:w="899" w:type="dxa"/>
              </w:tcPr>
              <w:p w14:paraId="6E855145" w14:textId="5D672970" w:rsidR="00436F87" w:rsidRDefault="00066432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02D3F244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Uses appropriate questioning techniques to understand the underlying issue for a customer</w:t>
                </w:r>
              </w:p>
              <w:p w14:paraId="1801DA3F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Takes responsibility for delivering on promises made </w:t>
                </w:r>
              </w:p>
              <w:p w14:paraId="1A1E5791" w14:textId="77777777" w:rsidR="00066432" w:rsidRPr="00066432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Takes responsibility to resolve or escalate customer issues</w:t>
                </w:r>
              </w:p>
              <w:p w14:paraId="0B8BC7DE" w14:textId="1E42C2F6" w:rsidR="00436F87" w:rsidRDefault="00066432" w:rsidP="00066432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Understands own and </w:t>
                </w:r>
                <w:proofErr w:type="gramStart"/>
                <w:r w:rsidRPr="00066432">
                  <w:rPr>
                    <w:lang w:val="en-US"/>
                  </w:rPr>
                  <w:t>teams</w:t>
                </w:r>
                <w:proofErr w:type="gramEnd"/>
                <w:r w:rsidRPr="00066432">
                  <w:rPr>
                    <w:lang w:val="en-US"/>
                  </w:rPr>
                  <w:t xml:space="preserve"> impact on the customer and services provided</w:t>
                </w:r>
              </w:p>
            </w:tc>
          </w:tr>
          <w:tr w:rsidR="00066432" w14:paraId="583BAF49" w14:textId="77777777" w:rsidTr="0006643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1148F5D" w14:textId="699E232F" w:rsidR="00066432" w:rsidRDefault="00066432" w:rsidP="00365001">
                <w:pPr>
                  <w:pStyle w:val="TableText"/>
                </w:pPr>
                <w:r>
                  <w:t>Planning and Delivering Results</w:t>
                </w:r>
              </w:p>
            </w:tc>
            <w:tc>
              <w:tcPr>
                <w:tcW w:w="899" w:type="dxa"/>
              </w:tcPr>
              <w:p w14:paraId="6CCCD799" w14:textId="72B8A6DA" w:rsidR="00066432" w:rsidRDefault="00066432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63A48E4E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Manages expectations and accepts accountability for deadlines, budget and outcomes</w:t>
                </w:r>
              </w:p>
              <w:p w14:paraId="3AF43E72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>Delivers consistently to plans and focuses on the achievement of results despite obstacles</w:t>
                </w:r>
              </w:p>
              <w:p w14:paraId="470C7BC6" w14:textId="77777777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66432">
                  <w:rPr>
                    <w:lang w:val="en-US"/>
                  </w:rPr>
                  <w:t xml:space="preserve">Implements quality assurance practices to ensure projects and activities are delivered to required standards.  </w:t>
                </w:r>
              </w:p>
              <w:p w14:paraId="0977E93E" w14:textId="44F52509" w:rsidR="00066432" w:rsidRPr="00066432" w:rsidRDefault="00066432" w:rsidP="00066432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066432">
                  <w:rPr>
                    <w:lang w:val="en-US"/>
                  </w:rPr>
                  <w:t>Initiates action without prompting</w:t>
                </w:r>
              </w:p>
            </w:tc>
          </w:tr>
        </w:tbl>
        <w:p w14:paraId="0C2A52AD" w14:textId="77777777" w:rsidR="00436F87" w:rsidRDefault="00436F87" w:rsidP="00436F87">
          <w:pPr>
            <w:pStyle w:val="Heading2"/>
          </w:pPr>
          <w:r w:rsidRPr="00B71AFA">
            <w:t>Technical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3213"/>
            <w:gridCol w:w="3213"/>
          </w:tblGrid>
          <w:tr w:rsidR="00436F87" w:rsidRPr="00436F87" w14:paraId="2C148D4E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EB26C92" w14:textId="77777777" w:rsidR="00436F87" w:rsidRPr="00436F87" w:rsidRDefault="00436F87" w:rsidP="00365001">
                <w:pPr>
                  <w:pStyle w:val="TableHeading"/>
                </w:pPr>
                <w:r>
                  <w:t>Competency</w:t>
                </w:r>
              </w:p>
            </w:tc>
            <w:tc>
              <w:tcPr>
                <w:tcW w:w="3213" w:type="dxa"/>
              </w:tcPr>
              <w:p w14:paraId="2DFBFFF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3213" w:type="dxa"/>
              </w:tcPr>
              <w:p w14:paraId="3796B7C3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1DB8C6E9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B7DBE88" w14:textId="77777777" w:rsidR="00436F87" w:rsidRDefault="00436F87" w:rsidP="00365001">
                <w:pPr>
                  <w:pStyle w:val="TableText"/>
                </w:pPr>
              </w:p>
            </w:tc>
            <w:tc>
              <w:tcPr>
                <w:tcW w:w="3213" w:type="dxa"/>
              </w:tcPr>
              <w:p w14:paraId="12032F0A" w14:textId="77777777" w:rsidR="00436F87" w:rsidRDefault="00436F87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3213" w:type="dxa"/>
              </w:tcPr>
              <w:p w14:paraId="1F305EFD" w14:textId="77777777" w:rsidR="00436F87" w:rsidRDefault="00436F87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B3988F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08F07D78" w14:textId="77777777" w:rsidR="00436F87" w:rsidRPr="00520E80" w:rsidRDefault="00436F87" w:rsidP="00520E8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0D0A1E11" w14:textId="77777777" w:rsidR="00520E80" w:rsidRDefault="00520E80" w:rsidP="00B946A0">
          <w:pPr>
            <w:pStyle w:val="ListBulletDarkBlue"/>
          </w:pPr>
          <w:r>
            <w:t>Formal qualifications not required, but at least 2 years’ experience in an Accounts Payable role is essential.</w:t>
          </w:r>
        </w:p>
        <w:p w14:paraId="583031DD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4BF5D442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52183719" w14:textId="0606AA41" w:rsidR="00BE5E34" w:rsidRPr="00EF036B" w:rsidRDefault="00387E2B" w:rsidP="00BE5E34">
          <w:pPr>
            <w:pStyle w:val="ListBulletDarkBlue"/>
          </w:pPr>
          <w:r w:rsidRPr="00995E83">
            <w:t xml:space="preserve">Demonstrated understanding </w:t>
          </w:r>
          <w:r w:rsidR="00BE5E34" w:rsidRPr="002A38AC">
            <w:t>o</w:t>
          </w:r>
          <w:r w:rsidR="00BE5E34">
            <w:t>f GST and tax legislation</w:t>
          </w:r>
          <w:r w:rsidR="00BE5E34" w:rsidRPr="002A38AC">
            <w:t>.</w:t>
          </w:r>
        </w:p>
        <w:p w14:paraId="6917BEBA" w14:textId="77777777" w:rsidR="00387E2B" w:rsidRPr="00995E83" w:rsidRDefault="00387E2B" w:rsidP="00995E83">
          <w:pPr>
            <w:pStyle w:val="ListBulletDarkBlue"/>
          </w:pPr>
          <w:r>
            <w:t>MS office products</w:t>
          </w:r>
        </w:p>
        <w:p w14:paraId="4EFCE792" w14:textId="77777777" w:rsidR="00436F87" w:rsidRPr="00995E83" w:rsidRDefault="00436F87" w:rsidP="008940F6">
          <w:pPr>
            <w:pStyle w:val="BodyText"/>
            <w:rPr>
              <w:b/>
            </w:rPr>
          </w:pPr>
          <w:r w:rsidRPr="00995E83">
            <w:rPr>
              <w:b/>
            </w:rPr>
            <w:t>Experience:</w:t>
          </w:r>
        </w:p>
        <w:p w14:paraId="574CAB7F" w14:textId="77777777" w:rsidR="00E56FEC" w:rsidRPr="00995E83" w:rsidRDefault="00E56FEC" w:rsidP="00436F87">
          <w:pPr>
            <w:pStyle w:val="ListBulletDarkBlue"/>
          </w:pPr>
          <w:r w:rsidRPr="00995E83">
            <w:t>Accurate data entry skills.</w:t>
          </w:r>
        </w:p>
        <w:p w14:paraId="335C10B6" w14:textId="2EFAC0DA" w:rsidR="00E56FEC" w:rsidRPr="00995E83" w:rsidRDefault="00995E83" w:rsidP="00436F87">
          <w:pPr>
            <w:pStyle w:val="ListBulletDarkBlue"/>
          </w:pPr>
          <w:r w:rsidRPr="00995E83">
            <w:lastRenderedPageBreak/>
            <w:t xml:space="preserve">Prior experience in an </w:t>
          </w:r>
          <w:r w:rsidR="008D78FD" w:rsidRPr="00995E83">
            <w:t xml:space="preserve">Accounts </w:t>
          </w:r>
          <w:r w:rsidRPr="00995E83">
            <w:t>P</w:t>
          </w:r>
          <w:r w:rsidR="008D78FD" w:rsidRPr="00995E83">
            <w:t xml:space="preserve">ayable </w:t>
          </w:r>
          <w:r w:rsidRPr="00995E83">
            <w:t>role</w:t>
          </w:r>
          <w:r w:rsidR="00AC3A68">
            <w:t>.</w:t>
          </w:r>
          <w:r w:rsidR="00E56FEC" w:rsidRPr="00995E83">
            <w:t xml:space="preserve"> </w:t>
          </w:r>
        </w:p>
        <w:p w14:paraId="6DF9ED55" w14:textId="7DD3E900" w:rsidR="008D78FD" w:rsidRDefault="00CC3CB9" w:rsidP="00436F87">
          <w:pPr>
            <w:pStyle w:val="ListBulletDarkBlue"/>
          </w:pPr>
          <w:r>
            <w:t xml:space="preserve">Demonstrated commitment to </w:t>
          </w:r>
          <w:r w:rsidR="00B404C5">
            <w:t>customer Service excellence</w:t>
          </w:r>
          <w:r w:rsidR="00AC3A68">
            <w:t>.</w:t>
          </w:r>
        </w:p>
        <w:p w14:paraId="459E9EFC" w14:textId="48CE13EB" w:rsidR="00AC3A68" w:rsidRPr="008940F6" w:rsidRDefault="00AC3A68" w:rsidP="00AC3A68">
          <w:pPr>
            <w:pStyle w:val="ListBulletDarkBlue"/>
          </w:pPr>
          <w:r>
            <w:t>Experience using Enterprise Resource Planning (ERP) system.</w:t>
          </w:r>
        </w:p>
        <w:p w14:paraId="2812C034" w14:textId="77777777" w:rsidR="008940F6" w:rsidRDefault="008940F6" w:rsidP="008940F6">
          <w:pPr>
            <w:pStyle w:val="Heading2"/>
          </w:pPr>
          <w:bookmarkStart w:id="6" w:name="_Hlk14341068"/>
          <w:r>
            <w:t>Favourable Candidate Requirements</w:t>
          </w:r>
        </w:p>
        <w:bookmarkEnd w:id="6"/>
        <w:p w14:paraId="0F093C2A" w14:textId="77777777" w:rsidR="008D30CF" w:rsidRDefault="008D30CF" w:rsidP="00AB01A6">
          <w:pPr>
            <w:pStyle w:val="ListBulletDarkBlue"/>
          </w:pPr>
          <w:r>
            <w:t>Prior accounts payable experience within a large organisation.</w:t>
          </w:r>
        </w:p>
        <w:p w14:paraId="7055C0D7" w14:textId="32E42440" w:rsidR="00520E80" w:rsidRDefault="00520E80" w:rsidP="00520E80">
          <w:pPr>
            <w:pStyle w:val="ListBulletDarkBlue"/>
          </w:pPr>
          <w:r>
            <w:t xml:space="preserve">Experience using Dynamics 365 and </w:t>
          </w:r>
          <w:r w:rsidR="00387E2B">
            <w:t>SAP C</w:t>
          </w:r>
          <w:r>
            <w:t>oncur</w:t>
          </w:r>
        </w:p>
        <w:p w14:paraId="045BAFEE" w14:textId="58AE629D" w:rsidR="00BE5E34" w:rsidRDefault="00BE5E34" w:rsidP="00BE5E34">
          <w:pPr>
            <w:pStyle w:val="ListBulletDarkBlue"/>
          </w:pPr>
          <w:r>
            <w:t>Knowledge of WaterNSW Accounts Payable systems, standards, policies and procedures</w:t>
          </w:r>
        </w:p>
        <w:p w14:paraId="5DDB5329" w14:textId="77777777" w:rsidR="00BE5E34" w:rsidRPr="00A23CDB" w:rsidRDefault="00BE5E34" w:rsidP="00BE5E34">
          <w:pPr>
            <w:pStyle w:val="ListBulletDarkBlue"/>
          </w:pPr>
          <w:r w:rsidRPr="006B229D">
            <w:t>Financial chart-of-accounts structure (ledgers) and financial processing (entries)</w:t>
          </w:r>
        </w:p>
        <w:p w14:paraId="350A0E82" w14:textId="4E88EA8D" w:rsidR="00BE5E34" w:rsidRDefault="00BE5E34" w:rsidP="00BE5E34">
          <w:pPr>
            <w:pStyle w:val="ListBulletDarkBlue"/>
          </w:pPr>
          <w:r>
            <w:t>Intermediate Microsoft Excel skills</w:t>
          </w:r>
        </w:p>
        <w:p w14:paraId="24D3F10B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71D2ED10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43DD7640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220E3D68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1756958D" w14:textId="77777777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995E83">
            <w:t>– Office based</w:t>
          </w:r>
        </w:p>
        <w:p w14:paraId="6FB402BC" w14:textId="77777777" w:rsidR="00436F87" w:rsidRPr="00436F87" w:rsidRDefault="008940F6" w:rsidP="002A689D">
          <w:pPr>
            <w:pStyle w:val="ListBulletDarkBlue"/>
          </w:pPr>
          <w:r>
            <w:t xml:space="preserve">Police Check </w:t>
          </w:r>
        </w:p>
        <w:p w14:paraId="410C6361" w14:textId="77777777" w:rsidR="00FB25EE" w:rsidRPr="00440DB5" w:rsidRDefault="00C21004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41567" w14:textId="77777777" w:rsidR="00C21004" w:rsidRDefault="00C21004" w:rsidP="00C20C17">
      <w:r>
        <w:separator/>
      </w:r>
    </w:p>
  </w:endnote>
  <w:endnote w:type="continuationSeparator" w:id="0">
    <w:p w14:paraId="59C27120" w14:textId="77777777" w:rsidR="00C21004" w:rsidRDefault="00C2100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CE682D2" w14:textId="77777777" w:rsidTr="0093761E">
      <w:tc>
        <w:tcPr>
          <w:tcW w:w="6521" w:type="dxa"/>
          <w:vAlign w:val="bottom"/>
        </w:tcPr>
        <w:p w14:paraId="3E21119A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5AD1AB6" w14:textId="77777777" w:rsidR="0093761E" w:rsidRPr="009E1815" w:rsidRDefault="00C21004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22358FCD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39EEF71" w14:textId="77777777" w:rsidTr="0093761E">
      <w:tc>
        <w:tcPr>
          <w:tcW w:w="6521" w:type="dxa"/>
          <w:vAlign w:val="bottom"/>
        </w:tcPr>
        <w:p w14:paraId="0ADBF577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33648DC1" w14:textId="77777777" w:rsidR="0093761E" w:rsidRPr="009E1815" w:rsidRDefault="00C21004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354A31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E88D" w14:textId="77777777" w:rsidR="00C21004" w:rsidRDefault="00C21004" w:rsidP="00C20C17">
      <w:r>
        <w:separator/>
      </w:r>
    </w:p>
  </w:footnote>
  <w:footnote w:type="continuationSeparator" w:id="0">
    <w:p w14:paraId="36C4C669" w14:textId="77777777" w:rsidR="00C21004" w:rsidRDefault="00C2100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4D0B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346E" w14:textId="77777777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A431E5">
      <w:rPr>
        <w:b w:val="0"/>
      </w:rPr>
      <w:t>Accounts Payable Officer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37074678" wp14:editId="2D27460F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7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71F71"/>
    <w:multiLevelType w:val="hybridMultilevel"/>
    <w:tmpl w:val="F24A9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0FE03D6A"/>
    <w:multiLevelType w:val="hybridMultilevel"/>
    <w:tmpl w:val="ABF0B6D2"/>
    <w:lvl w:ilvl="0" w:tplc="30FA5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4A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2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D6A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4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AF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2C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AD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E84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4B4B84"/>
    <w:multiLevelType w:val="hybridMultilevel"/>
    <w:tmpl w:val="B6986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6BB1318"/>
    <w:multiLevelType w:val="hybridMultilevel"/>
    <w:tmpl w:val="49F25340"/>
    <w:lvl w:ilvl="0" w:tplc="0FA44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3A5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AD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0F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45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60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C6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B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8FA39C1"/>
    <w:multiLevelType w:val="hybridMultilevel"/>
    <w:tmpl w:val="A44ECAF8"/>
    <w:lvl w:ilvl="0" w:tplc="FF74A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4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67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41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64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C9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43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A6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AC2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870ED"/>
    <w:multiLevelType w:val="hybridMultilevel"/>
    <w:tmpl w:val="2B665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203A"/>
    <w:multiLevelType w:val="multilevel"/>
    <w:tmpl w:val="EC644C88"/>
    <w:numStyleLink w:val="ListParagraph"/>
  </w:abstractNum>
  <w:abstractNum w:abstractNumId="19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0" w15:restartNumberingAfterBreak="0">
    <w:nsid w:val="3E730817"/>
    <w:multiLevelType w:val="multilevel"/>
    <w:tmpl w:val="7556D7BA"/>
    <w:numStyleLink w:val="ListBullet"/>
  </w:abstractNum>
  <w:abstractNum w:abstractNumId="21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1E37FF"/>
    <w:multiLevelType w:val="multilevel"/>
    <w:tmpl w:val="0ACA3976"/>
    <w:numStyleLink w:val="ListNbrHeading"/>
  </w:abstractNum>
  <w:abstractNum w:abstractNumId="24" w15:restartNumberingAfterBreak="0">
    <w:nsid w:val="51CE2434"/>
    <w:multiLevelType w:val="hybridMultilevel"/>
    <w:tmpl w:val="0290C282"/>
    <w:lvl w:ilvl="0" w:tplc="9F10CC1E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47F59"/>
    <w:multiLevelType w:val="hybridMultilevel"/>
    <w:tmpl w:val="AD7036F8"/>
    <w:lvl w:ilvl="0" w:tplc="37563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1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03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6E3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00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E0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65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29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04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70A5163"/>
    <w:multiLevelType w:val="hybridMultilevel"/>
    <w:tmpl w:val="26A25AC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F4274"/>
    <w:multiLevelType w:val="hybridMultilevel"/>
    <w:tmpl w:val="561860E4"/>
    <w:lvl w:ilvl="0" w:tplc="A17EF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0F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0E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25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425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8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E8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2F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706E95"/>
    <w:multiLevelType w:val="hybridMultilevel"/>
    <w:tmpl w:val="4AF282A6"/>
    <w:lvl w:ilvl="0" w:tplc="870EC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C7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2C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24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A6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A8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0F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87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2A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762E203B"/>
    <w:multiLevelType w:val="multilevel"/>
    <w:tmpl w:val="14C62FCC"/>
    <w:numStyleLink w:val="ListAlpha"/>
  </w:abstractNum>
  <w:abstractNum w:abstractNumId="31" w15:restartNumberingAfterBreak="0">
    <w:nsid w:val="78982173"/>
    <w:multiLevelType w:val="hybridMultilevel"/>
    <w:tmpl w:val="F280A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22"/>
  </w:num>
  <w:num w:numId="9">
    <w:abstractNumId w:val="11"/>
  </w:num>
  <w:num w:numId="10">
    <w:abstractNumId w:val="20"/>
  </w:num>
  <w:num w:numId="11">
    <w:abstractNumId w:val="10"/>
  </w:num>
  <w:num w:numId="12">
    <w:abstractNumId w:val="30"/>
  </w:num>
  <w:num w:numId="13">
    <w:abstractNumId w:val="18"/>
  </w:num>
  <w:num w:numId="14">
    <w:abstractNumId w:val="23"/>
  </w:num>
  <w:num w:numId="15">
    <w:abstractNumId w:val="8"/>
  </w:num>
  <w:num w:numId="16">
    <w:abstractNumId w:val="21"/>
  </w:num>
  <w:num w:numId="17">
    <w:abstractNumId w:val="24"/>
  </w:num>
  <w:num w:numId="18">
    <w:abstractNumId w:val="16"/>
  </w:num>
  <w:num w:numId="19">
    <w:abstractNumId w:val="2"/>
  </w:num>
  <w:num w:numId="20">
    <w:abstractNumId w:val="3"/>
  </w:num>
  <w:num w:numId="21">
    <w:abstractNumId w:val="26"/>
  </w:num>
  <w:num w:numId="22">
    <w:abstractNumId w:val="0"/>
  </w:num>
  <w:num w:numId="23">
    <w:abstractNumId w:val="31"/>
  </w:num>
  <w:num w:numId="24">
    <w:abstractNumId w:val="17"/>
  </w:num>
  <w:num w:numId="25">
    <w:abstractNumId w:val="9"/>
  </w:num>
  <w:num w:numId="26">
    <w:abstractNumId w:val="1"/>
  </w:num>
  <w:num w:numId="27">
    <w:abstractNumId w:val="6"/>
  </w:num>
  <w:num w:numId="28">
    <w:abstractNumId w:val="27"/>
  </w:num>
  <w:num w:numId="29">
    <w:abstractNumId w:val="14"/>
  </w:num>
  <w:num w:numId="30">
    <w:abstractNumId w:val="28"/>
  </w:num>
  <w:num w:numId="31">
    <w:abstractNumId w:val="25"/>
  </w:num>
  <w:num w:numId="3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5708C"/>
    <w:rsid w:val="00066432"/>
    <w:rsid w:val="00086082"/>
    <w:rsid w:val="000A08DF"/>
    <w:rsid w:val="000D6161"/>
    <w:rsid w:val="00126ABC"/>
    <w:rsid w:val="00171E5B"/>
    <w:rsid w:val="001E544B"/>
    <w:rsid w:val="001F6AE8"/>
    <w:rsid w:val="00227B8A"/>
    <w:rsid w:val="00227DB4"/>
    <w:rsid w:val="002701C0"/>
    <w:rsid w:val="00295738"/>
    <w:rsid w:val="002A4088"/>
    <w:rsid w:val="002B18D4"/>
    <w:rsid w:val="002B1B8A"/>
    <w:rsid w:val="002C6C8C"/>
    <w:rsid w:val="002F612F"/>
    <w:rsid w:val="00323F0F"/>
    <w:rsid w:val="003433DA"/>
    <w:rsid w:val="00356DB5"/>
    <w:rsid w:val="00387E2B"/>
    <w:rsid w:val="0039397C"/>
    <w:rsid w:val="003939E1"/>
    <w:rsid w:val="003C1096"/>
    <w:rsid w:val="003E01D0"/>
    <w:rsid w:val="003F1100"/>
    <w:rsid w:val="00436F87"/>
    <w:rsid w:val="00440DB5"/>
    <w:rsid w:val="00443CA9"/>
    <w:rsid w:val="00445521"/>
    <w:rsid w:val="00451F92"/>
    <w:rsid w:val="00452D60"/>
    <w:rsid w:val="004608A4"/>
    <w:rsid w:val="0046602E"/>
    <w:rsid w:val="004C2CF0"/>
    <w:rsid w:val="00520E80"/>
    <w:rsid w:val="0052671E"/>
    <w:rsid w:val="00537CE6"/>
    <w:rsid w:val="005429D2"/>
    <w:rsid w:val="00543502"/>
    <w:rsid w:val="00547A74"/>
    <w:rsid w:val="00561F8C"/>
    <w:rsid w:val="00563A0B"/>
    <w:rsid w:val="00586047"/>
    <w:rsid w:val="005B54F0"/>
    <w:rsid w:val="005D0167"/>
    <w:rsid w:val="005E467C"/>
    <w:rsid w:val="005E7363"/>
    <w:rsid w:val="005F7C31"/>
    <w:rsid w:val="00621E62"/>
    <w:rsid w:val="00670B05"/>
    <w:rsid w:val="00685D22"/>
    <w:rsid w:val="00697541"/>
    <w:rsid w:val="006B1921"/>
    <w:rsid w:val="006C0E44"/>
    <w:rsid w:val="006D1C44"/>
    <w:rsid w:val="006E25DA"/>
    <w:rsid w:val="006E26DE"/>
    <w:rsid w:val="006F6B8D"/>
    <w:rsid w:val="007356D2"/>
    <w:rsid w:val="007A7E72"/>
    <w:rsid w:val="007B215D"/>
    <w:rsid w:val="007C38B8"/>
    <w:rsid w:val="007E6281"/>
    <w:rsid w:val="007F6014"/>
    <w:rsid w:val="00826F1B"/>
    <w:rsid w:val="00834296"/>
    <w:rsid w:val="00862690"/>
    <w:rsid w:val="00883055"/>
    <w:rsid w:val="00891E09"/>
    <w:rsid w:val="008940F6"/>
    <w:rsid w:val="008A4773"/>
    <w:rsid w:val="008D30CF"/>
    <w:rsid w:val="008D78FD"/>
    <w:rsid w:val="0093429F"/>
    <w:rsid w:val="0093761E"/>
    <w:rsid w:val="00990C70"/>
    <w:rsid w:val="00995E83"/>
    <w:rsid w:val="009A46D8"/>
    <w:rsid w:val="009B5E34"/>
    <w:rsid w:val="009D6143"/>
    <w:rsid w:val="009E1815"/>
    <w:rsid w:val="009E6379"/>
    <w:rsid w:val="009F04EB"/>
    <w:rsid w:val="009F3881"/>
    <w:rsid w:val="00A0675C"/>
    <w:rsid w:val="00A2136D"/>
    <w:rsid w:val="00A34437"/>
    <w:rsid w:val="00A431E5"/>
    <w:rsid w:val="00A5597A"/>
    <w:rsid w:val="00A666F7"/>
    <w:rsid w:val="00A76994"/>
    <w:rsid w:val="00AB0B96"/>
    <w:rsid w:val="00AC3A68"/>
    <w:rsid w:val="00B025B0"/>
    <w:rsid w:val="00B27D0C"/>
    <w:rsid w:val="00B404C5"/>
    <w:rsid w:val="00B57088"/>
    <w:rsid w:val="00B742E4"/>
    <w:rsid w:val="00B80565"/>
    <w:rsid w:val="00B946A0"/>
    <w:rsid w:val="00BC0A35"/>
    <w:rsid w:val="00BC0E71"/>
    <w:rsid w:val="00BE5E34"/>
    <w:rsid w:val="00C20C17"/>
    <w:rsid w:val="00C21004"/>
    <w:rsid w:val="00C33B32"/>
    <w:rsid w:val="00C530B4"/>
    <w:rsid w:val="00C82D6E"/>
    <w:rsid w:val="00C839FC"/>
    <w:rsid w:val="00CC3CB9"/>
    <w:rsid w:val="00CC6675"/>
    <w:rsid w:val="00CF5BFA"/>
    <w:rsid w:val="00D03ED2"/>
    <w:rsid w:val="00D3057D"/>
    <w:rsid w:val="00D36DB6"/>
    <w:rsid w:val="00D86F2E"/>
    <w:rsid w:val="00DB122D"/>
    <w:rsid w:val="00DB4471"/>
    <w:rsid w:val="00DD0AFE"/>
    <w:rsid w:val="00E014F7"/>
    <w:rsid w:val="00E079DA"/>
    <w:rsid w:val="00E16FEA"/>
    <w:rsid w:val="00E33C05"/>
    <w:rsid w:val="00E56FEC"/>
    <w:rsid w:val="00E606A9"/>
    <w:rsid w:val="00E65571"/>
    <w:rsid w:val="00E661A0"/>
    <w:rsid w:val="00E87A8D"/>
    <w:rsid w:val="00EA1DF1"/>
    <w:rsid w:val="00EA2339"/>
    <w:rsid w:val="00EB27A3"/>
    <w:rsid w:val="00ED4E41"/>
    <w:rsid w:val="00EE6B9C"/>
    <w:rsid w:val="00EF73BE"/>
    <w:rsid w:val="00F36170"/>
    <w:rsid w:val="00F61255"/>
    <w:rsid w:val="00F83C76"/>
    <w:rsid w:val="00F9270F"/>
    <w:rsid w:val="00F947B1"/>
    <w:rsid w:val="00FB25EE"/>
    <w:rsid w:val="00FC0BC3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92925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0D616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602C3C"/>
    <w:rsid w:val="00604FA1"/>
    <w:rsid w:val="00644C96"/>
    <w:rsid w:val="007A162C"/>
    <w:rsid w:val="007A65FC"/>
    <w:rsid w:val="00816297"/>
    <w:rsid w:val="00851586"/>
    <w:rsid w:val="00895678"/>
    <w:rsid w:val="008B391C"/>
    <w:rsid w:val="008B6DCA"/>
    <w:rsid w:val="009005AC"/>
    <w:rsid w:val="009D00F9"/>
    <w:rsid w:val="00A20911"/>
    <w:rsid w:val="00C0406B"/>
    <w:rsid w:val="00C235FB"/>
    <w:rsid w:val="00D15000"/>
    <w:rsid w:val="00DA542A"/>
    <w:rsid w:val="00DD1A2E"/>
    <w:rsid w:val="00EF3CFC"/>
    <w:rsid w:val="00F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  <w:style w:type="paragraph" w:customStyle="1" w:styleId="25AD73909E1546658E05F09DA4BF4B56">
    <w:name w:val="25AD73909E1546658E05F09DA4BF4B56"/>
    <w:rsid w:val="00644C96"/>
  </w:style>
  <w:style w:type="paragraph" w:customStyle="1" w:styleId="578EEDAB7BDC4F71AAF9FE3C3D04D561">
    <w:name w:val="578EEDAB7BDC4F71AAF9FE3C3D04D561"/>
    <w:rsid w:val="00644C96"/>
  </w:style>
  <w:style w:type="paragraph" w:customStyle="1" w:styleId="BB0B1D93B3774656BBBAB517C66A18C7">
    <w:name w:val="BB0B1D93B3774656BBBAB517C66A18C7"/>
    <w:rsid w:val="00644C96"/>
  </w:style>
  <w:style w:type="paragraph" w:customStyle="1" w:styleId="DBE64C0A31754CB39A66002CD8E4AE8C">
    <w:name w:val="DBE64C0A31754CB39A66002CD8E4AE8C"/>
    <w:rsid w:val="00C0406B"/>
  </w:style>
  <w:style w:type="paragraph" w:customStyle="1" w:styleId="2C058BA3F6854FB381BF0FF40CD676A9">
    <w:name w:val="2C058BA3F6854FB381BF0FF40CD676A9"/>
    <w:rsid w:val="00C0406B"/>
  </w:style>
  <w:style w:type="paragraph" w:customStyle="1" w:styleId="D4683C802391467E8B2427F7092B61C0">
    <w:name w:val="D4683C802391467E8B2427F7092B61C0"/>
    <w:rsid w:val="00C0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E7C2-CEA2-42A4-8FAB-D78787DA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17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Emma Tink</cp:lastModifiedBy>
  <cp:revision>5</cp:revision>
  <cp:lastPrinted>2018-08-22T01:37:00Z</cp:lastPrinted>
  <dcterms:created xsi:type="dcterms:W3CDTF">2019-07-26T03:00:00Z</dcterms:created>
  <dcterms:modified xsi:type="dcterms:W3CDTF">2019-09-19T23:15:00Z</dcterms:modified>
</cp:coreProperties>
</file>