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60418508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4C996038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330D15CB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1809D13C" w14:textId="256B301A" w:rsidR="00E65571" w:rsidRPr="00E65571" w:rsidRDefault="00DD50F5" w:rsidP="00E65571">
          <w:pPr>
            <w:pStyle w:val="BodyText"/>
          </w:pPr>
          <w:r>
            <w:rPr>
              <w:b/>
              <w:sz w:val="24"/>
            </w:rPr>
            <w:t xml:space="preserve">Business Unit: </w:t>
          </w:r>
          <w:r w:rsidR="00E53A7F" w:rsidRPr="00E53A7F">
            <w:rPr>
              <w:b/>
              <w:sz w:val="24"/>
            </w:rPr>
            <w:t>Asset</w:t>
          </w:r>
          <w:r w:rsidR="00C822A6">
            <w:rPr>
              <w:b/>
              <w:sz w:val="24"/>
            </w:rPr>
            <w:t>s</w:t>
          </w:r>
          <w:r w:rsidR="00E65571" w:rsidRPr="00E65571">
            <w:rPr>
              <w:b/>
              <w:sz w:val="24"/>
            </w:rPr>
            <w:br/>
            <w:t xml:space="preserve">Reporting to </w:t>
          </w:r>
          <w:r w:rsidR="00E53A7F" w:rsidRPr="00E53A7F">
            <w:rPr>
              <w:b/>
              <w:sz w:val="24"/>
            </w:rPr>
            <w:t xml:space="preserve">Dam </w:t>
          </w:r>
          <w:r w:rsidR="00552BAC">
            <w:rPr>
              <w:b/>
              <w:sz w:val="24"/>
            </w:rPr>
            <w:t>Engineering Delivery</w:t>
          </w:r>
          <w:r w:rsidR="00E53A7F" w:rsidRPr="00E53A7F">
            <w:rPr>
              <w:b/>
              <w:sz w:val="24"/>
            </w:rPr>
            <w:t xml:space="preserve"> Manager</w:t>
          </w:r>
        </w:p>
        <w:p w14:paraId="4BAC9F06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19F819B0" w14:textId="42A4935A" w:rsidR="00A5597A" w:rsidRPr="00B501BE" w:rsidRDefault="004D7526" w:rsidP="0004428B">
          <w:pPr>
            <w:pStyle w:val="Heading2"/>
            <w:ind w:left="142"/>
          </w:pPr>
          <w: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A</w:t>
          </w:r>
          <w:r w:rsidR="00405974" w:rsidRPr="00405974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s </w:t>
          </w:r>
          <w:r w:rsidR="002F239E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a </w:t>
          </w:r>
          <w:r w:rsidR="00D122B7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senior </w:t>
          </w:r>
          <w:r w:rsidR="00405974" w:rsidRPr="00405974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subject matter expert 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in dam </w:t>
          </w:r>
          <w:r w:rsidR="00624F5A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engineering</w:t>
          </w:r>
          <w:r w:rsidR="002F239E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, </w:t>
          </w:r>
          <w:r w:rsidR="00405974" w:rsidRPr="00405974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provide technical leadership in delivering effective dam </w:t>
          </w:r>
          <w:r w:rsidR="00186435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e</w:t>
          </w:r>
          <w:r w:rsidR="00624F5A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ngineering</w:t>
          </w:r>
          <w:r w:rsidR="00405974" w:rsidRPr="00405974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</w:t>
          </w:r>
          <w:r w:rsidR="00624F5A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solutions</w:t>
          </w:r>
          <w:r w:rsidR="00362195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, </w:t>
          </w:r>
          <w:r w:rsidR="00362195" w:rsidRPr="00362195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inclusive of investigation, assessment, design, audit and advice services to the organisation </w:t>
          </w:r>
          <w:r w:rsidR="007F085B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in accordance with the DSMS </w:t>
          </w:r>
          <w:r w:rsidR="00405974" w:rsidRPr="00405974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to meet business, regulatory and</w:t>
          </w:r>
          <w:r w:rsidR="00405974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</w:t>
          </w:r>
          <w:r w:rsidR="00405974" w:rsidRPr="00405974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statutory requirements</w:t>
          </w:r>
          <w:r w:rsidR="00E4357E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and puts safety first</w:t>
          </w:r>
          <w:r w:rsidR="00405974" w:rsidRPr="00405974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.</w:t>
          </w:r>
          <w:r w:rsidR="00405974" w:rsidRPr="00405974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cr/>
          </w:r>
          <w:r w:rsidR="00A5597A" w:rsidRPr="00B501BE">
            <w:t>Key Accountabilities</w:t>
          </w:r>
        </w:p>
        <w:p w14:paraId="5DFE409D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7E01B267" w14:textId="77777777" w:rsidR="00A5597A" w:rsidRPr="00980A17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2C5E072A" w14:textId="07E31F76" w:rsidR="00A5597A" w:rsidRPr="00A5597A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980A17">
            <w:rPr>
              <w:b/>
              <w:color w:val="000000" w:themeColor="text1"/>
            </w:rPr>
            <w:t>Leadership:</w:t>
          </w:r>
          <w:r>
            <w:rPr>
              <w:color w:val="000000" w:themeColor="text1"/>
            </w:rPr>
            <w:t xml:space="preserve"> delivering</w:t>
          </w:r>
          <w:r w:rsidRPr="00E4620D">
            <w:rPr>
              <w:color w:val="000000" w:themeColor="text1"/>
            </w:rPr>
            <w:t xml:space="preserve"> strategic priorities and developing the culture, </w:t>
          </w:r>
          <w:r w:rsidR="004527A9" w:rsidRPr="00E4620D">
            <w:rPr>
              <w:color w:val="000000" w:themeColor="text1"/>
            </w:rPr>
            <w:t>capability,</w:t>
          </w:r>
          <w:r w:rsidRPr="00E4620D">
            <w:rPr>
              <w:color w:val="000000" w:themeColor="text1"/>
            </w:rPr>
            <w:t xml:space="preserve"> and performance of our people.</w:t>
          </w:r>
          <w:r>
            <w:rPr>
              <w:color w:val="000000" w:themeColor="text1"/>
            </w:rPr>
            <w:t xml:space="preserve"> </w:t>
          </w:r>
        </w:p>
        <w:p w14:paraId="22970DC8" w14:textId="67810580" w:rsidR="00563331" w:rsidRDefault="00A16825" w:rsidP="00772D27">
          <w:pPr>
            <w:pStyle w:val="ListNumber0"/>
            <w:rPr>
              <w:color w:val="000000" w:themeColor="text1"/>
            </w:rPr>
          </w:pPr>
          <w:r w:rsidRPr="00747BDE">
            <w:rPr>
              <w:color w:val="000000" w:themeColor="text1"/>
            </w:rPr>
            <w:t xml:space="preserve">Provide technical leadership </w:t>
          </w:r>
          <w:r w:rsidR="0051367C">
            <w:rPr>
              <w:color w:val="000000" w:themeColor="text1"/>
            </w:rPr>
            <w:t xml:space="preserve">in dam engineering </w:t>
          </w:r>
          <w:r w:rsidRPr="00747BDE">
            <w:rPr>
              <w:color w:val="000000" w:themeColor="text1"/>
            </w:rPr>
            <w:t xml:space="preserve">to the </w:t>
          </w:r>
          <w:r w:rsidR="001425A4" w:rsidRPr="00747BDE">
            <w:rPr>
              <w:color w:val="000000" w:themeColor="text1"/>
            </w:rPr>
            <w:t xml:space="preserve">Dam </w:t>
          </w:r>
          <w:r w:rsidR="006355EE" w:rsidRPr="00747BDE">
            <w:rPr>
              <w:color w:val="000000" w:themeColor="text1"/>
            </w:rPr>
            <w:t>Engineers</w:t>
          </w:r>
          <w:r w:rsidR="00C9450C">
            <w:rPr>
              <w:color w:val="000000" w:themeColor="text1"/>
            </w:rPr>
            <w:t xml:space="preserve"> and </w:t>
          </w:r>
          <w:r w:rsidR="0051367C">
            <w:rPr>
              <w:color w:val="000000" w:themeColor="text1"/>
            </w:rPr>
            <w:t xml:space="preserve">the </w:t>
          </w:r>
          <w:r w:rsidR="00501C37">
            <w:rPr>
              <w:color w:val="000000" w:themeColor="text1"/>
            </w:rPr>
            <w:t>business</w:t>
          </w:r>
          <w:r w:rsidR="0051367C">
            <w:rPr>
              <w:color w:val="000000" w:themeColor="text1"/>
            </w:rPr>
            <w:t>.</w:t>
          </w:r>
          <w:r w:rsidR="001425A4" w:rsidRPr="00747BDE">
            <w:rPr>
              <w:color w:val="000000" w:themeColor="text1"/>
            </w:rPr>
            <w:t xml:space="preserve"> </w:t>
          </w:r>
        </w:p>
        <w:p w14:paraId="32061FA5" w14:textId="5557F286" w:rsidR="001425A4" w:rsidRPr="001425A4" w:rsidRDefault="00563331" w:rsidP="00772D27">
          <w:pPr>
            <w:pStyle w:val="ListNumber0"/>
            <w:rPr>
              <w:color w:val="000000" w:themeColor="text1"/>
            </w:rPr>
          </w:pPr>
          <w:r>
            <w:rPr>
              <w:color w:val="000000" w:themeColor="text1"/>
            </w:rPr>
            <w:t>R</w:t>
          </w:r>
          <w:r w:rsidR="001425A4" w:rsidRPr="00747BDE">
            <w:rPr>
              <w:color w:val="000000" w:themeColor="text1"/>
            </w:rPr>
            <w:t>eview</w:t>
          </w:r>
          <w:r w:rsidR="00ED500F">
            <w:rPr>
              <w:color w:val="000000" w:themeColor="text1"/>
            </w:rPr>
            <w:t>/v</w:t>
          </w:r>
          <w:r w:rsidR="001425A4" w:rsidRPr="00747BDE">
            <w:rPr>
              <w:color w:val="000000" w:themeColor="text1"/>
            </w:rPr>
            <w:t>alidate</w:t>
          </w:r>
          <w:r w:rsidR="00ED500F">
            <w:rPr>
              <w:color w:val="000000" w:themeColor="text1"/>
            </w:rPr>
            <w:t xml:space="preserve"> and/or verify</w:t>
          </w:r>
          <w:r w:rsidR="001425A4" w:rsidRPr="00747BDE">
            <w:rPr>
              <w:color w:val="000000" w:themeColor="text1"/>
            </w:rPr>
            <w:t xml:space="preserve"> work outputs </w:t>
          </w:r>
          <w:r w:rsidR="00717162">
            <w:rPr>
              <w:color w:val="000000" w:themeColor="text1"/>
            </w:rPr>
            <w:t xml:space="preserve">from Dam Engineers and </w:t>
          </w:r>
          <w:r>
            <w:rPr>
              <w:color w:val="000000" w:themeColor="text1"/>
            </w:rPr>
            <w:t xml:space="preserve">consultants </w:t>
          </w:r>
          <w:r w:rsidR="00C541B6">
            <w:rPr>
              <w:color w:val="000000" w:themeColor="text1"/>
            </w:rPr>
            <w:t>in accordance with the DSMS</w:t>
          </w:r>
          <w:r w:rsidR="001425A4" w:rsidRPr="001425A4">
            <w:rPr>
              <w:color w:val="000000" w:themeColor="text1"/>
            </w:rPr>
            <w:t>.</w:t>
          </w:r>
        </w:p>
        <w:p w14:paraId="6519B370" w14:textId="601653A7" w:rsidR="0084614B" w:rsidRPr="0008388C" w:rsidRDefault="00212DC0" w:rsidP="001425A4">
          <w:pPr>
            <w:pStyle w:val="ListNumber0"/>
            <w:rPr>
              <w:color w:val="000000" w:themeColor="text1"/>
            </w:rPr>
          </w:pPr>
          <w:r w:rsidRPr="0008388C">
            <w:rPr>
              <w:color w:val="000000" w:themeColor="text1"/>
            </w:rPr>
            <w:t>Provide in-depth specialist dam engineering support by keeping condition of dams and risks they present under constant review</w:t>
          </w:r>
          <w:r w:rsidR="00F87F56">
            <w:rPr>
              <w:color w:val="000000" w:themeColor="text1"/>
            </w:rPr>
            <w:t xml:space="preserve">; </w:t>
          </w:r>
          <w:r w:rsidR="00FE2E7C">
            <w:rPr>
              <w:color w:val="000000" w:themeColor="text1"/>
            </w:rPr>
            <w:t>i</w:t>
          </w:r>
          <w:r w:rsidR="00FE2E7C" w:rsidRPr="0008388C">
            <w:rPr>
              <w:color w:val="000000" w:themeColor="text1"/>
            </w:rPr>
            <w:t>dentify</w:t>
          </w:r>
          <w:r w:rsidR="0008388C" w:rsidRPr="0008388C">
            <w:rPr>
              <w:color w:val="000000" w:themeColor="text1"/>
            </w:rPr>
            <w:t xml:space="preserve"> and measure/quantify new threats and lead development of necessary improvement solutions.</w:t>
          </w:r>
        </w:p>
        <w:p w14:paraId="7EB60FC2" w14:textId="3999A36B" w:rsidR="00285434" w:rsidRDefault="00285434" w:rsidP="00285434">
          <w:pPr>
            <w:pStyle w:val="ListNumber0"/>
            <w:rPr>
              <w:color w:val="000000" w:themeColor="text1"/>
            </w:rPr>
          </w:pPr>
          <w:r w:rsidRPr="00212DC0">
            <w:rPr>
              <w:color w:val="000000" w:themeColor="text1"/>
            </w:rPr>
            <w:t xml:space="preserve">Provide specialist expertise and advice on comprehensive dam safety </w:t>
          </w:r>
          <w:r w:rsidR="00FE2E7C">
            <w:rPr>
              <w:color w:val="000000" w:themeColor="text1"/>
            </w:rPr>
            <w:t xml:space="preserve">risk </w:t>
          </w:r>
          <w:r w:rsidRPr="00212DC0">
            <w:rPr>
              <w:color w:val="000000" w:themeColor="text1"/>
            </w:rPr>
            <w:t xml:space="preserve">reviews, investigations, and portfolio risk assessments. </w:t>
          </w:r>
        </w:p>
        <w:p w14:paraId="66CA3F9F" w14:textId="21AB82C3" w:rsidR="002972DF" w:rsidRPr="00974ED9" w:rsidRDefault="002972DF" w:rsidP="002972DF">
          <w:pPr>
            <w:pStyle w:val="ListNumber0"/>
            <w:rPr>
              <w:color w:val="000000" w:themeColor="text1"/>
            </w:rPr>
          </w:pPr>
          <w:r w:rsidRPr="00974ED9">
            <w:rPr>
              <w:color w:val="000000" w:themeColor="text1"/>
            </w:rPr>
            <w:t>Lead the development of strategies and objective studies for risk management options</w:t>
          </w:r>
          <w:r w:rsidR="00974ED9" w:rsidRPr="00974ED9">
            <w:rPr>
              <w:color w:val="000000" w:themeColor="text1"/>
            </w:rPr>
            <w:t xml:space="preserve">; support </w:t>
          </w:r>
          <w:r w:rsidR="005A4F78" w:rsidRPr="00974ED9">
            <w:rPr>
              <w:color w:val="000000" w:themeColor="text1"/>
            </w:rPr>
            <w:t>the prioritisation</w:t>
          </w:r>
          <w:r w:rsidR="00974ED9">
            <w:rPr>
              <w:color w:val="000000" w:themeColor="text1"/>
            </w:rPr>
            <w:t xml:space="preserve"> of </w:t>
          </w:r>
          <w:r w:rsidRPr="00974ED9">
            <w:rPr>
              <w:color w:val="000000" w:themeColor="text1"/>
            </w:rPr>
            <w:t xml:space="preserve">dam safety investigations </w:t>
          </w:r>
          <w:r w:rsidR="008E4447">
            <w:rPr>
              <w:color w:val="000000" w:themeColor="text1"/>
            </w:rPr>
            <w:t>&amp;</w:t>
          </w:r>
          <w:r w:rsidRPr="00974ED9">
            <w:rPr>
              <w:color w:val="000000" w:themeColor="text1"/>
            </w:rPr>
            <w:t xml:space="preserve"> studies projects for </w:t>
          </w:r>
          <w:r w:rsidR="00974ED9">
            <w:rPr>
              <w:color w:val="000000" w:themeColor="text1"/>
            </w:rPr>
            <w:t>inclusion in</w:t>
          </w:r>
          <w:r w:rsidRPr="00974ED9">
            <w:rPr>
              <w:color w:val="000000" w:themeColor="text1"/>
            </w:rPr>
            <w:t xml:space="preserve"> the Dam Safety Investment Strategy. </w:t>
          </w:r>
        </w:p>
        <w:p w14:paraId="2E45AF6D" w14:textId="65E6A561" w:rsidR="00A5597A" w:rsidRPr="004B3A22" w:rsidRDefault="00212DC0" w:rsidP="00A93E92">
          <w:pPr>
            <w:pStyle w:val="ListNumber0"/>
            <w:rPr>
              <w:color w:val="000000" w:themeColor="text1"/>
            </w:rPr>
          </w:pPr>
          <w:r w:rsidRPr="004B3A22">
            <w:rPr>
              <w:color w:val="000000" w:themeColor="text1"/>
            </w:rPr>
            <w:t>Develop effective working relationships with key internal and external stakeholders</w:t>
          </w:r>
          <w:r w:rsidR="001425A4" w:rsidRPr="004B3A22">
            <w:rPr>
              <w:color w:val="000000" w:themeColor="text1"/>
            </w:rPr>
            <w:t>.</w:t>
          </w:r>
        </w:p>
        <w:p w14:paraId="5F97FDFD" w14:textId="77777777" w:rsidR="00A5597A" w:rsidRDefault="00A5597A" w:rsidP="00A5597A">
          <w:pPr>
            <w:pStyle w:val="Heading2"/>
          </w:pPr>
          <w:r>
            <w:lastRenderedPageBreak/>
            <w:t>Key Challenges</w:t>
          </w:r>
        </w:p>
        <w:p w14:paraId="44EEBF99" w14:textId="65BE829E" w:rsidR="00CE558D" w:rsidRDefault="00CE558D" w:rsidP="00A5597A">
          <w:pPr>
            <w:pStyle w:val="ListBulletDarkBlue"/>
          </w:pPr>
          <w:r>
            <w:t xml:space="preserve">Transforming </w:t>
          </w:r>
          <w:r w:rsidR="00B22195">
            <w:t xml:space="preserve">engineering team </w:t>
          </w:r>
          <w:r>
            <w:t xml:space="preserve">members’ thinking paradigm to one that is focused on commerciality, efficiency, prioritising value-add activity and eliminating waste. </w:t>
          </w:r>
        </w:p>
        <w:p w14:paraId="64F7C94C" w14:textId="282927CC" w:rsidR="00A5597A" w:rsidRPr="00A5597A" w:rsidRDefault="00CE558D" w:rsidP="00A5597A">
          <w:pPr>
            <w:pStyle w:val="ListBulletDarkBlue"/>
          </w:pPr>
          <w:r>
            <w:t>Developing and inculcating the new WaterNSW culture.</w:t>
          </w:r>
        </w:p>
        <w:p w14:paraId="38E087F8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2435761C" w14:textId="77777777" w:rsidTr="007D2CE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8CCF89B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0A6A1F0A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78926A25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ADD0181" w14:textId="5BBFA2D5" w:rsidR="005E1181" w:rsidRDefault="00B346F8" w:rsidP="005E1181">
                <w:pPr>
                  <w:pStyle w:val="TableText"/>
                  <w:numPr>
                    <w:ilvl w:val="0"/>
                    <w:numId w:val="24"/>
                  </w:numPr>
                </w:pPr>
                <w:r>
                  <w:t>Water Operations</w:t>
                </w:r>
              </w:p>
              <w:p w14:paraId="61D6A9EE" w14:textId="35182CE8" w:rsidR="00F56124" w:rsidRDefault="00F56124" w:rsidP="005E1181">
                <w:pPr>
                  <w:pStyle w:val="TableText"/>
                  <w:numPr>
                    <w:ilvl w:val="0"/>
                    <w:numId w:val="24"/>
                  </w:numPr>
                </w:pPr>
                <w:r>
                  <w:t>Asset Delivery</w:t>
                </w:r>
              </w:p>
              <w:p w14:paraId="7B7F983E" w14:textId="2062498A" w:rsidR="00471673" w:rsidRDefault="00471673" w:rsidP="005E1181">
                <w:pPr>
                  <w:pStyle w:val="TableText"/>
                  <w:numPr>
                    <w:ilvl w:val="0"/>
                    <w:numId w:val="24"/>
                  </w:numPr>
                </w:pPr>
                <w:r>
                  <w:t>Asset Capability</w:t>
                </w:r>
              </w:p>
              <w:p w14:paraId="3200E1D8" w14:textId="448E9C7C" w:rsidR="005E1181" w:rsidRDefault="005E1181" w:rsidP="0093761E">
                <w:pPr>
                  <w:pStyle w:val="TableText"/>
                </w:pPr>
              </w:p>
            </w:tc>
            <w:tc>
              <w:tcPr>
                <w:tcW w:w="4819" w:type="dxa"/>
              </w:tcPr>
              <w:p w14:paraId="66E4F4DB" w14:textId="5CE7A64C" w:rsidR="0093761E" w:rsidRDefault="00471673" w:rsidP="00B346F8">
                <w:pPr>
                  <w:pStyle w:val="TableText"/>
                  <w:numPr>
                    <w:ilvl w:val="0"/>
                    <w:numId w:val="24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Internal partners in the delivery of </w:t>
                </w:r>
                <w:r w:rsidR="001D5E94">
                  <w:t xml:space="preserve">studies and investigations </w:t>
                </w:r>
              </w:p>
            </w:tc>
          </w:tr>
        </w:tbl>
        <w:p w14:paraId="089EDD01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4659FC3D" w14:textId="77777777" w:rsidTr="007D2CE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  <w:shd w:val="clear" w:color="auto" w:fill="auto"/>
              </w:tcPr>
              <w:p w14:paraId="519130DA" w14:textId="77777777" w:rsidR="00436F87" w:rsidRDefault="00436F87" w:rsidP="00015848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4A0BEB98" w14:textId="77777777" w:rsidR="00436F87" w:rsidRDefault="00436F87" w:rsidP="00015848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1E23F98E" w14:textId="77777777" w:rsidTr="007D2CE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  <w:shd w:val="clear" w:color="auto" w:fill="auto"/>
              </w:tcPr>
              <w:p w14:paraId="052E77B8" w14:textId="32DA9F49" w:rsidR="00436F87" w:rsidRPr="009B5E34" w:rsidRDefault="0014111A" w:rsidP="0014111A">
                <w:pPr>
                  <w:pStyle w:val="TableText"/>
                  <w:numPr>
                    <w:ilvl w:val="0"/>
                    <w:numId w:val="24"/>
                  </w:numPr>
                </w:pPr>
                <w:r w:rsidRPr="0014111A">
                  <w:t>Engineering and design consultants including expert technical panels and advisory boards</w:t>
                </w:r>
              </w:p>
            </w:tc>
            <w:tc>
              <w:tcPr>
                <w:tcW w:w="4819" w:type="dxa"/>
              </w:tcPr>
              <w:p w14:paraId="62B3933A" w14:textId="59BA63C1" w:rsidR="00436F87" w:rsidRPr="009B5E34" w:rsidRDefault="00A56EB0" w:rsidP="00A56EB0">
                <w:pPr>
                  <w:pStyle w:val="TableText"/>
                  <w:numPr>
                    <w:ilvl w:val="0"/>
                    <w:numId w:val="24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External partners in the delivery of studies and investigations</w:t>
                </w:r>
              </w:p>
            </w:tc>
          </w:tr>
        </w:tbl>
        <w:p w14:paraId="038BB2AB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2151F1D6" w14:textId="77777777" w:rsidR="00436F87" w:rsidRDefault="00436F87" w:rsidP="0004428B">
          <w:pPr>
            <w:pStyle w:val="ListBulletDarkBlue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5FB75C8E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1041"/>
            <w:gridCol w:w="5385"/>
          </w:tblGrid>
          <w:tr w:rsidR="00436F87" w14:paraId="3CC70F57" w14:textId="77777777" w:rsidTr="007D2CE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  <w:shd w:val="clear" w:color="auto" w:fill="auto"/>
              </w:tcPr>
              <w:p w14:paraId="1866AE2C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1041" w:type="dxa"/>
                <w:shd w:val="clear" w:color="auto" w:fill="auto"/>
              </w:tcPr>
              <w:p w14:paraId="363487C1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385" w:type="dxa"/>
              </w:tcPr>
              <w:p w14:paraId="1848D2AE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C753C5" w14:paraId="2B1DEA8B" w14:textId="77777777" w:rsidTr="007D2CE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  <w:shd w:val="clear" w:color="auto" w:fill="auto"/>
              </w:tcPr>
              <w:p w14:paraId="3F3CC2F2" w14:textId="5E911A29" w:rsidR="00C753C5" w:rsidRPr="00F36E59" w:rsidRDefault="00A67E4F" w:rsidP="00436F87">
                <w:pPr>
                  <w:pStyle w:val="TableText"/>
                </w:pPr>
                <w:r w:rsidRPr="00A67E4F">
                  <w:t>Coaching &amp; Developing Others</w:t>
                </w:r>
              </w:p>
            </w:tc>
            <w:tc>
              <w:tcPr>
                <w:tcW w:w="1041" w:type="dxa"/>
                <w:shd w:val="clear" w:color="auto" w:fill="auto"/>
              </w:tcPr>
              <w:p w14:paraId="190FA6BE" w14:textId="6E3A1044" w:rsidR="00C753C5" w:rsidRDefault="003020C5" w:rsidP="0004428B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385" w:type="dxa"/>
              </w:tcPr>
              <w:p w14:paraId="3F169C61" w14:textId="77777777" w:rsidR="003020C5" w:rsidRDefault="003020C5" w:rsidP="00436F8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020C5">
                  <w:t xml:space="preserve">Encourages questions to ensure understanding </w:t>
                </w:r>
              </w:p>
              <w:p w14:paraId="1B8FF9E2" w14:textId="2433B1D5" w:rsidR="003020C5" w:rsidRDefault="003020C5" w:rsidP="00436F8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020C5">
                  <w:t>Questions with curiosity</w:t>
                </w:r>
              </w:p>
              <w:p w14:paraId="087C7EEC" w14:textId="1B564339" w:rsidR="00C753C5" w:rsidRPr="00781872" w:rsidRDefault="003020C5" w:rsidP="00436F8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020C5">
                  <w:t>Actively listens to understand before responding</w:t>
                </w:r>
              </w:p>
            </w:tc>
          </w:tr>
          <w:tr w:rsidR="00436F87" w14:paraId="4D4099BE" w14:textId="77777777" w:rsidTr="0004428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</w:tcPr>
              <w:p w14:paraId="3BA443F0" w14:textId="5AE6A4F0" w:rsidR="00436F87" w:rsidRDefault="00F36E59" w:rsidP="00436F87">
                <w:pPr>
                  <w:pStyle w:val="TableText"/>
                </w:pPr>
                <w:r w:rsidRPr="00F36E59">
                  <w:t>Communicating with Influence</w:t>
                </w:r>
              </w:p>
            </w:tc>
            <w:tc>
              <w:tcPr>
                <w:tcW w:w="0" w:type="dxa"/>
                <w:shd w:val="clear" w:color="auto" w:fill="auto"/>
              </w:tcPr>
              <w:p w14:paraId="27CF2508" w14:textId="2BE21B5F" w:rsidR="00436F87" w:rsidRDefault="00781872" w:rsidP="0004428B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0" w:type="dxa"/>
                <w:shd w:val="clear" w:color="auto" w:fill="auto"/>
              </w:tcPr>
              <w:p w14:paraId="43A9D8C3" w14:textId="17A4E496" w:rsidR="00781872" w:rsidRDefault="00781872" w:rsidP="00436F87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81872">
                  <w:t>Tailors communication to suit the audience and uses a range of influencing techniques to</w:t>
                </w:r>
                <w:r>
                  <w:t xml:space="preserve"> </w:t>
                </w:r>
                <w:r w:rsidRPr="00781872">
                  <w:t>build support</w:t>
                </w:r>
              </w:p>
              <w:p w14:paraId="4BD4E02B" w14:textId="77777777" w:rsidR="00781872" w:rsidRDefault="00781872" w:rsidP="00436F87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81872">
                  <w:t>Supports messages with relevant examples, demonstrations and stories</w:t>
                </w:r>
              </w:p>
              <w:p w14:paraId="63232F0F" w14:textId="77777777" w:rsidR="00781872" w:rsidRDefault="00781872" w:rsidP="00436F87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81872">
                  <w:lastRenderedPageBreak/>
                  <w:t>Communicates issues clearly with different audiences</w:t>
                </w:r>
              </w:p>
              <w:p w14:paraId="50CC6B63" w14:textId="132BF00D" w:rsidR="00436F87" w:rsidRDefault="00781872" w:rsidP="00436F87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81872">
                  <w:t>Handles challenging questions confidently and constructively</w:t>
                </w:r>
              </w:p>
            </w:tc>
          </w:tr>
        </w:tbl>
        <w:p w14:paraId="4256F3A0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1041"/>
            <w:gridCol w:w="5385"/>
          </w:tblGrid>
          <w:tr w:rsidR="00436F87" w:rsidRPr="00436F87" w14:paraId="73559A0E" w14:textId="77777777" w:rsidTr="00D1018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CCD26A8" w14:textId="77777777" w:rsidR="00436F87" w:rsidRPr="00436F87" w:rsidRDefault="00436F87" w:rsidP="00015848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1041" w:type="dxa"/>
              </w:tcPr>
              <w:p w14:paraId="0550B33B" w14:textId="77777777" w:rsidR="00436F87" w:rsidRPr="00436F87" w:rsidRDefault="00436F87" w:rsidP="00015848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385" w:type="dxa"/>
              </w:tcPr>
              <w:p w14:paraId="03F89AC1" w14:textId="77777777" w:rsidR="00436F87" w:rsidRPr="00436F87" w:rsidRDefault="00436F87" w:rsidP="00015848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38696690" w14:textId="77777777" w:rsidTr="00D1018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603F0EA" w14:textId="19411997" w:rsidR="00436F87" w:rsidRDefault="00D41A0F" w:rsidP="00015848">
                <w:pPr>
                  <w:pStyle w:val="TableText"/>
                </w:pPr>
                <w:r w:rsidRPr="00D41A0F">
                  <w:t>Collaboration &amp; Engagement</w:t>
                </w:r>
                <w:r>
                  <w:t xml:space="preserve"> </w:t>
                </w:r>
                <w:r w:rsidRPr="00D41A0F">
                  <w:t>With Customers and Stakeholders</w:t>
                </w:r>
              </w:p>
            </w:tc>
            <w:tc>
              <w:tcPr>
                <w:tcW w:w="1041" w:type="dxa"/>
              </w:tcPr>
              <w:p w14:paraId="503E1527" w14:textId="484B5388" w:rsidR="00436F87" w:rsidRPr="0004428B" w:rsidRDefault="001C2CCD" w:rsidP="0004428B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385" w:type="dxa"/>
              </w:tcPr>
              <w:p w14:paraId="4CDDA3EC" w14:textId="77777777" w:rsidR="00D02626" w:rsidRPr="00D02626" w:rsidRDefault="00D02626" w:rsidP="00D0262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2626">
                  <w:rPr>
                    <w:lang w:val="en-US"/>
                  </w:rPr>
                  <w:t>Builds and maintains relationships with individuals from other work groups to accomplish shared goals</w:t>
                </w:r>
              </w:p>
              <w:p w14:paraId="78BE5254" w14:textId="453D89A8" w:rsidR="00436F87" w:rsidRDefault="00D02626" w:rsidP="00D0262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2626">
                  <w:rPr>
                    <w:lang w:val="en-US"/>
                  </w:rPr>
                  <w:t>Adapts approach to meet the needs of a broad range of customers and stakeholders</w:t>
                </w:r>
              </w:p>
            </w:tc>
          </w:tr>
          <w:tr w:rsidR="00D41A0F" w14:paraId="17FAB68C" w14:textId="77777777" w:rsidTr="0004428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</w:tcPr>
              <w:p w14:paraId="08F7930A" w14:textId="7EF4DC7B" w:rsidR="00D41A0F" w:rsidRPr="00D41A0F" w:rsidRDefault="006379E1" w:rsidP="00015848">
                <w:pPr>
                  <w:pStyle w:val="TableText"/>
                </w:pPr>
                <w:r w:rsidRPr="006379E1">
                  <w:t>Partnering &amp; Advice</w:t>
                </w:r>
              </w:p>
            </w:tc>
            <w:tc>
              <w:tcPr>
                <w:tcW w:w="0" w:type="dxa"/>
                <w:shd w:val="clear" w:color="auto" w:fill="auto"/>
              </w:tcPr>
              <w:p w14:paraId="1CD09637" w14:textId="04CEDD61" w:rsidR="00D41A0F" w:rsidRPr="0004428B" w:rsidRDefault="005B3813" w:rsidP="0004428B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4428B">
                  <w:t>B</w:t>
                </w:r>
              </w:p>
            </w:tc>
            <w:tc>
              <w:tcPr>
                <w:tcW w:w="0" w:type="dxa"/>
                <w:shd w:val="clear" w:color="auto" w:fill="auto"/>
              </w:tcPr>
              <w:p w14:paraId="1EF10190" w14:textId="77777777" w:rsidR="005B3813" w:rsidRDefault="005B3813" w:rsidP="0001584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B3813">
                  <w:t>Engages in a productive dialogue with the customer to consultatively identify a solution</w:t>
                </w:r>
              </w:p>
              <w:p w14:paraId="48267C5B" w14:textId="77777777" w:rsidR="005B3813" w:rsidRDefault="005B3813" w:rsidP="0001584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B3813">
                  <w:t>Provides credible advice for customers based on an understanding of the underlying issue</w:t>
                </w:r>
              </w:p>
              <w:p w14:paraId="091F7C93" w14:textId="049FE2DD" w:rsidR="00D41A0F" w:rsidRPr="00D1018C" w:rsidRDefault="005B3813" w:rsidP="0001584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B3813">
                  <w:t>Knows when to draw on additional resources to provide appropriate support and advice</w:t>
                </w:r>
                <w:r>
                  <w:t xml:space="preserve"> </w:t>
                </w:r>
                <w:r w:rsidRPr="005B3813">
                  <w:t>for customers</w:t>
                </w:r>
              </w:p>
            </w:tc>
          </w:tr>
        </w:tbl>
        <w:p w14:paraId="3E907A81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1041"/>
            <w:gridCol w:w="5385"/>
          </w:tblGrid>
          <w:tr w:rsidR="00436F87" w:rsidRPr="00436F87" w14:paraId="04CAD96C" w14:textId="77777777" w:rsidTr="007D2CE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  <w:shd w:val="clear" w:color="auto" w:fill="auto"/>
              </w:tcPr>
              <w:p w14:paraId="47B878AF" w14:textId="77777777" w:rsidR="00436F87" w:rsidRPr="00436F87" w:rsidRDefault="00436F87" w:rsidP="00015848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1041" w:type="dxa"/>
                <w:shd w:val="clear" w:color="auto" w:fill="auto"/>
              </w:tcPr>
              <w:p w14:paraId="0AFAB8E7" w14:textId="77777777" w:rsidR="00436F87" w:rsidRPr="00436F87" w:rsidRDefault="00436F87" w:rsidP="00015848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385" w:type="dxa"/>
                <w:shd w:val="clear" w:color="auto" w:fill="auto"/>
              </w:tcPr>
              <w:p w14:paraId="4F943BE6" w14:textId="77777777" w:rsidR="00436F87" w:rsidRPr="00436F87" w:rsidRDefault="00436F87" w:rsidP="00015848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7A3FE144" w14:textId="77777777" w:rsidTr="007D2CE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  <w:shd w:val="clear" w:color="auto" w:fill="auto"/>
              </w:tcPr>
              <w:p w14:paraId="7503C92A" w14:textId="540601C7" w:rsidR="00436F87" w:rsidRDefault="008B2DBC" w:rsidP="00015848">
                <w:pPr>
                  <w:pStyle w:val="TableText"/>
                </w:pPr>
                <w:r w:rsidRPr="008B2DBC">
                  <w:t>Analysis and Problem Solving</w:t>
                </w:r>
              </w:p>
            </w:tc>
            <w:tc>
              <w:tcPr>
                <w:tcW w:w="1041" w:type="dxa"/>
              </w:tcPr>
              <w:p w14:paraId="2D4954A8" w14:textId="3A67F045" w:rsidR="00436F87" w:rsidRDefault="008D42BB" w:rsidP="00FE0BFF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385" w:type="dxa"/>
              </w:tcPr>
              <w:p w14:paraId="4C5FE326" w14:textId="77777777" w:rsidR="000F1E70" w:rsidRPr="000F1E70" w:rsidRDefault="000F1E70" w:rsidP="000F1E7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1E70">
                  <w:rPr>
                    <w:lang w:val="en-US"/>
                  </w:rPr>
                  <w:t xml:space="preserve">Takes a broad view when </w:t>
                </w:r>
                <w:proofErr w:type="spellStart"/>
                <w:r w:rsidRPr="000F1E70">
                  <w:rPr>
                    <w:lang w:val="en-US"/>
                  </w:rPr>
                  <w:t>analysing</w:t>
                </w:r>
                <w:proofErr w:type="spellEnd"/>
                <w:r w:rsidRPr="000F1E70">
                  <w:rPr>
                    <w:lang w:val="en-US"/>
                  </w:rPr>
                  <w:t xml:space="preserve"> complex and ambiguous situations</w:t>
                </w:r>
              </w:p>
              <w:p w14:paraId="159A092A" w14:textId="77777777" w:rsidR="000F1E70" w:rsidRPr="000F1E70" w:rsidRDefault="000F1E70" w:rsidP="000F1E7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 w:rsidRPr="000F1E70">
                  <w:rPr>
                    <w:lang w:val="en-US"/>
                  </w:rPr>
                  <w:t>Recognises</w:t>
                </w:r>
                <w:proofErr w:type="spellEnd"/>
                <w:r w:rsidRPr="000F1E70">
                  <w:rPr>
                    <w:lang w:val="en-US"/>
                  </w:rPr>
                  <w:t xml:space="preserve"> patterns and draws linkages between data and/or situations</w:t>
                </w:r>
              </w:p>
              <w:p w14:paraId="515E5A5C" w14:textId="77777777" w:rsidR="000F1E70" w:rsidRPr="000F1E70" w:rsidRDefault="000F1E70" w:rsidP="000F1E7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1E70">
                  <w:rPr>
                    <w:lang w:val="en-US"/>
                  </w:rPr>
                  <w:t xml:space="preserve">Develops long term solutions that address the root cause of problems and prevent recurrences </w:t>
                </w:r>
              </w:p>
              <w:p w14:paraId="2BBD6DEA" w14:textId="77777777" w:rsidR="000F1E70" w:rsidRPr="000F1E70" w:rsidRDefault="000F1E70" w:rsidP="000F1E7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1E70">
                  <w:rPr>
                    <w:lang w:val="en-US"/>
                  </w:rPr>
                  <w:t>Selects and uses problem solving tools appropriate to the problem and the context</w:t>
                </w:r>
              </w:p>
              <w:p w14:paraId="1D2E7277" w14:textId="77777777" w:rsidR="000F1E70" w:rsidRPr="000F1E70" w:rsidRDefault="000F1E70" w:rsidP="000F1E7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1E70">
                  <w:rPr>
                    <w:lang w:val="en-US"/>
                  </w:rPr>
                  <w:t xml:space="preserve">Evaluates the effectiveness of implemented solutions </w:t>
                </w:r>
              </w:p>
              <w:p w14:paraId="7141895E" w14:textId="23E65736" w:rsidR="00436F87" w:rsidRDefault="00436F87" w:rsidP="0001584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8B2DBC" w14:paraId="272F02E8" w14:textId="77777777" w:rsidTr="0004428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</w:tcPr>
              <w:p w14:paraId="22C8269D" w14:textId="09C89CFE" w:rsidR="008B2DBC" w:rsidRPr="008B2DBC" w:rsidRDefault="00C400F6" w:rsidP="00015848">
                <w:pPr>
                  <w:pStyle w:val="TableText"/>
                </w:pPr>
                <w:r w:rsidRPr="00C400F6">
                  <w:lastRenderedPageBreak/>
                  <w:t>Planning and Delivering Results</w:t>
                </w:r>
              </w:p>
            </w:tc>
            <w:tc>
              <w:tcPr>
                <w:tcW w:w="0" w:type="dxa"/>
                <w:shd w:val="clear" w:color="auto" w:fill="auto"/>
              </w:tcPr>
              <w:p w14:paraId="737E2C06" w14:textId="22B5CCB5" w:rsidR="008B2DBC" w:rsidRDefault="00D83592" w:rsidP="0004428B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0" w:type="dxa"/>
                <w:shd w:val="clear" w:color="auto" w:fill="auto"/>
              </w:tcPr>
              <w:p w14:paraId="21592220" w14:textId="77777777" w:rsidR="00D83592" w:rsidRDefault="00D83592" w:rsidP="0001584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83592">
                  <w:t xml:space="preserve">Manages expectations and accepts accountability for deadlines, budget and outcomes </w:t>
                </w:r>
              </w:p>
              <w:p w14:paraId="7320815D" w14:textId="77777777" w:rsidR="00D83592" w:rsidRDefault="00D83592" w:rsidP="0001584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83592">
                  <w:t xml:space="preserve">Delivers consistently to plans and focuses on the achievement of results despite obstacles </w:t>
                </w:r>
              </w:p>
              <w:p w14:paraId="3D3872B2" w14:textId="77777777" w:rsidR="00D83592" w:rsidRDefault="00D83592" w:rsidP="0001584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83592">
                  <w:t xml:space="preserve">Implements quality assurance practices to ensure projects and activities are delivered to required standards. </w:t>
                </w:r>
              </w:p>
              <w:p w14:paraId="4A6BDDF6" w14:textId="3994F633" w:rsidR="008B2DBC" w:rsidRPr="00276E31" w:rsidRDefault="00D83592" w:rsidP="0001584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83592">
                  <w:t>Initiates action without prompting</w:t>
                </w:r>
              </w:p>
            </w:tc>
          </w:tr>
        </w:tbl>
        <w:p w14:paraId="2D424EF3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63DB8429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776A0876" w14:textId="54F520F5" w:rsidR="00436F87" w:rsidRDefault="00015848" w:rsidP="00B946A0">
          <w:pPr>
            <w:pStyle w:val="ListBulletDarkBlue"/>
          </w:pPr>
          <w:r w:rsidRPr="00A2741E">
            <w:t>Bachelor’s</w:t>
          </w:r>
          <w:r w:rsidR="00A2741E" w:rsidRPr="00A2741E">
            <w:t xml:space="preserve"> degree or higher in Civil Engineering, or other related engineering discipline as deemed appropriate</w:t>
          </w:r>
          <w:r w:rsidR="009A1305">
            <w:t xml:space="preserve">. </w:t>
          </w:r>
          <w:r w:rsidR="00436F87">
            <w:t xml:space="preserve"> </w:t>
          </w:r>
        </w:p>
        <w:p w14:paraId="6CD77F29" w14:textId="0C10A773" w:rsidR="00AB2235" w:rsidRDefault="00AB2235" w:rsidP="00B946A0">
          <w:pPr>
            <w:pStyle w:val="ListBulletDarkBlue"/>
          </w:pPr>
          <w:r w:rsidRPr="00AB2235">
            <w:t>Eligibility for membership of Engineers Australia</w:t>
          </w:r>
        </w:p>
        <w:p w14:paraId="39D38277" w14:textId="70A6DB34" w:rsidR="00436F87" w:rsidRPr="00447CEE" w:rsidRDefault="00436F87" w:rsidP="00B946A0">
          <w:pPr>
            <w:pStyle w:val="ListBulletDarkBlue"/>
          </w:pPr>
          <w:r>
            <w:t>Current NSW Drivers Licence</w:t>
          </w:r>
          <w:r w:rsidR="00222256">
            <w:t>.</w:t>
          </w:r>
        </w:p>
        <w:p w14:paraId="0240E2C8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57853480" w14:textId="5ECC191C" w:rsidR="00222256" w:rsidRDefault="00222256" w:rsidP="00222256">
          <w:pPr>
            <w:pStyle w:val="ListBulletDarkBlue"/>
          </w:pPr>
          <w:r>
            <w:t xml:space="preserve">Extensive knowledge of principles and practices of dam and weir design, construction, operation, safety </w:t>
          </w:r>
          <w:r w:rsidR="00913E69">
            <w:t>assessment</w:t>
          </w:r>
          <w:r>
            <w:t xml:space="preserve"> and maintenance.</w:t>
          </w:r>
        </w:p>
        <w:p w14:paraId="0E48B414" w14:textId="76C43B6E" w:rsidR="00436F87" w:rsidRDefault="00222256" w:rsidP="00222256">
          <w:pPr>
            <w:pStyle w:val="ListBulletDarkBlue"/>
          </w:pPr>
          <w:r>
            <w:t>Detailed knowledge of relevant Australian and International codes and standards.</w:t>
          </w:r>
        </w:p>
        <w:p w14:paraId="3C00E64B" w14:textId="0CA14484" w:rsidR="00EE4BEC" w:rsidRDefault="004909C5" w:rsidP="00222256">
          <w:pPr>
            <w:pStyle w:val="ListBulletDarkBlue"/>
          </w:pPr>
          <w:r>
            <w:t xml:space="preserve">Proven risk management and technical engineering knowledge </w:t>
          </w:r>
          <w:r w:rsidR="00B00EB1">
            <w:t>of dams</w:t>
          </w:r>
        </w:p>
        <w:p w14:paraId="6128E342" w14:textId="18B4BE65" w:rsidR="004909C5" w:rsidRPr="00447CEE" w:rsidRDefault="00B00EB1" w:rsidP="00222256">
          <w:pPr>
            <w:pStyle w:val="ListBulletDarkBlue"/>
          </w:pPr>
          <w:r>
            <w:t xml:space="preserve">Knowledge </w:t>
          </w:r>
          <w:r w:rsidR="004909C5">
            <w:t xml:space="preserve">of </w:t>
          </w:r>
          <w:r>
            <w:t xml:space="preserve">safety </w:t>
          </w:r>
          <w:r w:rsidR="004909C5">
            <w:t>polic</w:t>
          </w:r>
          <w:r w:rsidR="00B9439E">
            <w:t>ies</w:t>
          </w:r>
          <w:r w:rsidR="004909C5">
            <w:t xml:space="preserve"> and regulatory requirements.</w:t>
          </w:r>
        </w:p>
        <w:p w14:paraId="6385614C" w14:textId="77777777" w:rsidR="00B91734" w:rsidRDefault="00B91734" w:rsidP="008940F6">
          <w:pPr>
            <w:pStyle w:val="BodyText"/>
            <w:rPr>
              <w:b/>
            </w:rPr>
          </w:pPr>
        </w:p>
        <w:p w14:paraId="16311732" w14:textId="5C87DF10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14B2FBAF" w14:textId="77777777" w:rsidR="007E4B9A" w:rsidRPr="00F965AE" w:rsidRDefault="007E4B9A" w:rsidP="00F965AE">
          <w:pPr>
            <w:pStyle w:val="ListBulletDarkBlue"/>
            <w:ind w:left="714" w:hanging="357"/>
          </w:pPr>
          <w:r w:rsidRPr="007E4B9A">
            <w:t xml:space="preserve">Minimum 10 years professional experience in dams engineering </w:t>
          </w:r>
        </w:p>
        <w:p w14:paraId="646475CC" w14:textId="424F210F" w:rsidR="00C86236" w:rsidRDefault="00C86236" w:rsidP="00C86236">
          <w:pPr>
            <w:pStyle w:val="ListBulletDarkBlue"/>
            <w:ind w:left="714" w:hanging="357"/>
          </w:pPr>
          <w:r w:rsidRPr="007E4B9A">
            <w:t>Experience in engineering and design aspects o</w:t>
          </w:r>
          <w:r w:rsidR="00D3093B">
            <w:t>n</w:t>
          </w:r>
          <w:r w:rsidRPr="007E4B9A">
            <w:t xml:space="preserve"> multi-disciplinary dam projects  </w:t>
          </w:r>
        </w:p>
        <w:p w14:paraId="18AE0338" w14:textId="3350F9D7" w:rsidR="00F965AE" w:rsidRPr="00F965AE" w:rsidRDefault="007E4B9A" w:rsidP="00F965AE">
          <w:pPr>
            <w:pStyle w:val="ListBulletDarkBlue"/>
            <w:ind w:left="714" w:hanging="357"/>
          </w:pPr>
          <w:r w:rsidRPr="007E4B9A">
            <w:t xml:space="preserve">Proven negotiation and influencing skills to leverage teams’ capabilities to deliver good business outcomes  </w:t>
          </w:r>
        </w:p>
        <w:p w14:paraId="2B7584AD" w14:textId="45FE3B23" w:rsidR="00F965AE" w:rsidRPr="00F965AE" w:rsidRDefault="007E4B9A" w:rsidP="00F965AE">
          <w:pPr>
            <w:pStyle w:val="ListBulletDarkBlue"/>
            <w:ind w:left="714" w:hanging="357"/>
          </w:pPr>
          <w:r w:rsidRPr="007E4B9A">
            <w:t xml:space="preserve">Proven experience engaging with key internal and external stakeholders to identify needs, address issues and ensure objectives are understood and met  </w:t>
          </w:r>
        </w:p>
        <w:p w14:paraId="1374507D" w14:textId="081ECB70" w:rsidR="00F965AE" w:rsidRPr="00F965AE" w:rsidRDefault="007E4B9A" w:rsidP="00F965AE">
          <w:pPr>
            <w:pStyle w:val="ListBulletDarkBlue"/>
            <w:ind w:left="714" w:hanging="357"/>
          </w:pPr>
          <w:r w:rsidRPr="007E4B9A">
            <w:t xml:space="preserve">Demonstrated background in planning work and deploying resources to deliver business goals.  </w:t>
          </w:r>
        </w:p>
        <w:p w14:paraId="60EB395A" w14:textId="31BC1EB6" w:rsidR="00F965AE" w:rsidRPr="00F965AE" w:rsidRDefault="007E4B9A" w:rsidP="00F965AE">
          <w:pPr>
            <w:pStyle w:val="ListBulletDarkBlue"/>
            <w:ind w:left="714" w:hanging="357"/>
          </w:pPr>
          <w:r w:rsidRPr="007E4B9A">
            <w:lastRenderedPageBreak/>
            <w:t xml:space="preserve">Excellent written and oral communication skills to communicate internally and to technical professionals, client groups, </w:t>
          </w:r>
          <w:r w:rsidR="001137D8" w:rsidRPr="007E4B9A">
            <w:t>regulators,</w:t>
          </w:r>
          <w:r w:rsidRPr="007E4B9A">
            <w:t xml:space="preserve"> and the public, including reports, addressing forums and providing and interpreting technical information. • </w:t>
          </w:r>
        </w:p>
        <w:p w14:paraId="270A239F" w14:textId="77777777" w:rsidR="00F965AE" w:rsidRPr="00F965AE" w:rsidRDefault="007E4B9A" w:rsidP="00F965AE">
          <w:pPr>
            <w:pStyle w:val="ListBulletDarkBlue"/>
            <w:ind w:left="714" w:hanging="357"/>
          </w:pPr>
          <w:r w:rsidRPr="007E4B9A">
            <w:t xml:space="preserve">Highly developed analytical and problem-solving skills, ability to analyse and interpret data and information and make sound judgements. </w:t>
          </w:r>
        </w:p>
        <w:p w14:paraId="17BBFB1D" w14:textId="3B041799" w:rsidR="008940F6" w:rsidRDefault="008940F6" w:rsidP="008940F6">
          <w:pPr>
            <w:pStyle w:val="Heading2"/>
          </w:pPr>
          <w:r>
            <w:t>Favourable Candidate Requirements</w:t>
          </w:r>
        </w:p>
        <w:p w14:paraId="219D4C06" w14:textId="01805169" w:rsidR="008940F6" w:rsidRDefault="00B3184C" w:rsidP="008940F6">
          <w:pPr>
            <w:pStyle w:val="ListBulletDarkBlue"/>
          </w:pPr>
          <w:r>
            <w:t>Experience leading the management and development of improvement initiatives.</w:t>
          </w:r>
        </w:p>
        <w:p w14:paraId="27A67696" w14:textId="77777777" w:rsidR="00611704" w:rsidRPr="00F965AE" w:rsidRDefault="00611704" w:rsidP="00611704">
          <w:pPr>
            <w:pStyle w:val="ListBulletDarkBlue"/>
            <w:ind w:left="714" w:hanging="357"/>
          </w:pPr>
          <w:r w:rsidRPr="007E4B9A">
            <w:t xml:space="preserve">Experience in </w:t>
          </w:r>
          <w:r>
            <w:t>l</w:t>
          </w:r>
          <w:r w:rsidRPr="007E4B9A">
            <w:t xml:space="preserve">eading a team of technical staff, providing coaching and mentoring to aid their development and to ensure effective delivery of services.  </w:t>
          </w:r>
        </w:p>
        <w:p w14:paraId="690E72D9" w14:textId="77777777" w:rsidR="003772C0" w:rsidRDefault="003772C0" w:rsidP="008940F6">
          <w:pPr>
            <w:pStyle w:val="ListBulletDarkBlue"/>
          </w:pPr>
          <w:r w:rsidRPr="003772C0">
            <w:t xml:space="preserve">Experience developing and implementing dam safety related regulatory strategies. </w:t>
          </w:r>
        </w:p>
        <w:p w14:paraId="32BFDBF2" w14:textId="656E616F" w:rsidR="00F965AE" w:rsidRDefault="003772C0" w:rsidP="008940F6">
          <w:pPr>
            <w:pStyle w:val="ListBulletDarkBlue"/>
          </w:pPr>
          <w:r w:rsidRPr="003772C0">
            <w:t xml:space="preserve">Experience preparing and/or reviewing and critiquing comprehensive </w:t>
          </w:r>
          <w:r w:rsidR="00156012">
            <w:t xml:space="preserve">dam safety </w:t>
          </w:r>
          <w:r w:rsidR="00363713">
            <w:t>reviews</w:t>
          </w:r>
          <w:r w:rsidRPr="003772C0">
            <w:t>.</w:t>
          </w:r>
        </w:p>
        <w:p w14:paraId="04F91E8C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64159E99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2C724733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37222D6B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35353D0F" w14:textId="33E29BE3" w:rsidR="008940F6" w:rsidRDefault="008940F6" w:rsidP="008940F6">
          <w:pPr>
            <w:pStyle w:val="ListBulletDarkBlue"/>
          </w:pPr>
          <w:r>
            <w:t xml:space="preserve">Pre-employment Medical </w:t>
          </w:r>
        </w:p>
        <w:p w14:paraId="5B1BCFD7" w14:textId="0313268F" w:rsidR="00436F87" w:rsidRPr="00436F87" w:rsidRDefault="008940F6" w:rsidP="00436F87">
          <w:pPr>
            <w:pStyle w:val="ListBulletDarkBlue"/>
          </w:pPr>
          <w:r>
            <w:t xml:space="preserve">Police Check </w:t>
          </w:r>
        </w:p>
        <w:p w14:paraId="5B148E85" w14:textId="77777777" w:rsidR="0093761E" w:rsidRDefault="0093761E" w:rsidP="0093761E">
          <w:pPr>
            <w:pStyle w:val="BodyText"/>
          </w:pPr>
        </w:p>
        <w:p w14:paraId="3EAC692C" w14:textId="77777777" w:rsidR="00FB25EE" w:rsidRPr="00440DB5" w:rsidRDefault="004E57E7" w:rsidP="00E33C05">
          <w:pPr>
            <w:pStyle w:val="BodyText"/>
          </w:pPr>
        </w:p>
        <w:bookmarkEnd w:id="2" w:displacedByCustomXml="next"/>
      </w:sdtContent>
    </w:sdt>
    <w:sectPr w:rsidR="00FB25EE" w:rsidRPr="00440DB5" w:rsidSect="00EA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07A5" w14:textId="77777777" w:rsidR="005B01E1" w:rsidRDefault="005B01E1" w:rsidP="00C20C17">
      <w:r>
        <w:separator/>
      </w:r>
    </w:p>
  </w:endnote>
  <w:endnote w:type="continuationSeparator" w:id="0">
    <w:p w14:paraId="394A861E" w14:textId="77777777" w:rsidR="005B01E1" w:rsidRDefault="005B01E1" w:rsidP="00C20C17">
      <w:r>
        <w:continuationSeparator/>
      </w:r>
    </w:p>
  </w:endnote>
  <w:endnote w:type="continuationNotice" w:id="1">
    <w:p w14:paraId="7B930DE0" w14:textId="77777777" w:rsidR="008D42BB" w:rsidRDefault="008D42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CCE8" w14:textId="77777777" w:rsidR="000A474A" w:rsidRDefault="000A4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7CA81418" w14:textId="77777777" w:rsidTr="0093761E">
      <w:tc>
        <w:tcPr>
          <w:tcW w:w="6521" w:type="dxa"/>
          <w:vAlign w:val="bottom"/>
        </w:tcPr>
        <w:p w14:paraId="4E8958C5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061F5FBA" w14:textId="77777777" w:rsidR="0093761E" w:rsidRPr="009E1815" w:rsidRDefault="004E57E7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5717DF65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3368A48" w14:textId="77777777" w:rsidTr="0093761E">
      <w:tc>
        <w:tcPr>
          <w:tcW w:w="6521" w:type="dxa"/>
          <w:vAlign w:val="bottom"/>
        </w:tcPr>
        <w:p w14:paraId="62EE629F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E4A4B45" w14:textId="77777777" w:rsidR="0093761E" w:rsidRPr="009E1815" w:rsidRDefault="004E57E7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4E63BB81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8C2D" w14:textId="77777777" w:rsidR="005B01E1" w:rsidRDefault="005B01E1" w:rsidP="00C20C17">
      <w:r>
        <w:separator/>
      </w:r>
    </w:p>
  </w:footnote>
  <w:footnote w:type="continuationSeparator" w:id="0">
    <w:p w14:paraId="490BE4D6" w14:textId="77777777" w:rsidR="005B01E1" w:rsidRDefault="005B01E1" w:rsidP="00C20C17">
      <w:r>
        <w:continuationSeparator/>
      </w:r>
    </w:p>
  </w:footnote>
  <w:footnote w:type="continuationNotice" w:id="1">
    <w:p w14:paraId="66000645" w14:textId="77777777" w:rsidR="008D42BB" w:rsidRDefault="008D42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1486" w14:textId="41EE1479" w:rsidR="000A474A" w:rsidRDefault="000A4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7818" w14:textId="65943262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07532" wp14:editId="4BDCC539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E48F" w14:textId="161515B2" w:rsidR="0093761E" w:rsidRPr="00E65571" w:rsidRDefault="009E3024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58241" behindDoc="0" locked="0" layoutInCell="1" allowOverlap="1" wp14:anchorId="6F86EF2D" wp14:editId="00C5AAF6">
          <wp:simplePos x="0" y="0"/>
          <wp:positionH relativeFrom="column">
            <wp:posOffset>-2753360</wp:posOffset>
          </wp:positionH>
          <wp:positionV relativeFrom="paragraph">
            <wp:posOffset>882015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D8247B" w:rsidRPr="009E3024">
      <w:rPr>
        <w:b w:val="0"/>
      </w:rPr>
      <w:t>Lead</w:t>
    </w:r>
    <w:r w:rsidR="00D8247B">
      <w:rPr>
        <w:b w:val="0"/>
      </w:rPr>
      <w:t xml:space="preserve"> </w:t>
    </w:r>
    <w:r w:rsidRPr="009E3024">
      <w:rPr>
        <w:b w:val="0"/>
      </w:rPr>
      <w:t xml:space="preserve">Dam </w:t>
    </w:r>
    <w:r w:rsidR="00D8247B">
      <w:rPr>
        <w:b w:val="0"/>
      </w:rPr>
      <w:t>Engineer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EE5"/>
    <w:multiLevelType w:val="multilevel"/>
    <w:tmpl w:val="EC644C88"/>
    <w:lvl w:ilvl="0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3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FB92464"/>
    <w:multiLevelType w:val="hybridMultilevel"/>
    <w:tmpl w:val="148A613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262509B"/>
    <w:multiLevelType w:val="multilevel"/>
    <w:tmpl w:val="AF62EB60"/>
    <w:numStyleLink w:val="ListNumber"/>
  </w:abstractNum>
  <w:abstractNum w:abstractNumId="9" w15:restartNumberingAfterBreak="0">
    <w:nsid w:val="240D3E3D"/>
    <w:multiLevelType w:val="multilevel"/>
    <w:tmpl w:val="C988152A"/>
    <w:numStyleLink w:val="ListAppendix"/>
  </w:abstractNum>
  <w:abstractNum w:abstractNumId="10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1553C"/>
    <w:multiLevelType w:val="hybridMultilevel"/>
    <w:tmpl w:val="54B87488"/>
    <w:lvl w:ilvl="0" w:tplc="E87ED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45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8C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06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00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403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4A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0B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BC203A"/>
    <w:multiLevelType w:val="multilevel"/>
    <w:tmpl w:val="EC644C88"/>
    <w:numStyleLink w:val="ListParagraph0"/>
  </w:abstractNum>
  <w:abstractNum w:abstractNumId="15" w15:restartNumberingAfterBreak="0">
    <w:nsid w:val="3BF26A71"/>
    <w:multiLevelType w:val="multilevel"/>
    <w:tmpl w:val="EC644C88"/>
    <w:styleLink w:val="ListParagraph0"/>
    <w:lvl w:ilvl="0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6" w15:restartNumberingAfterBreak="0">
    <w:nsid w:val="3E730817"/>
    <w:multiLevelType w:val="multilevel"/>
    <w:tmpl w:val="7556D7BA"/>
    <w:numStyleLink w:val="ListBullet"/>
  </w:abstractNum>
  <w:abstractNum w:abstractNumId="17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53554"/>
    <w:multiLevelType w:val="hybridMultilevel"/>
    <w:tmpl w:val="416AD8B0"/>
    <w:lvl w:ilvl="0" w:tplc="5A249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E1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8A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0E0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0B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4F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02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C9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42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8E375CA"/>
    <w:multiLevelType w:val="multilevel"/>
    <w:tmpl w:val="EC644C88"/>
    <w:lvl w:ilvl="0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21" w15:restartNumberingAfterBreak="0">
    <w:nsid w:val="4A1E37FF"/>
    <w:multiLevelType w:val="multilevel"/>
    <w:tmpl w:val="0ACA3976"/>
    <w:numStyleLink w:val="ListNbrHeading"/>
  </w:abstractNum>
  <w:abstractNum w:abstractNumId="22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85CA6"/>
    <w:multiLevelType w:val="hybridMultilevel"/>
    <w:tmpl w:val="4432B2B8"/>
    <w:lvl w:ilvl="0" w:tplc="AFF6F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40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8B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228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86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86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DC6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8E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2B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762E203B"/>
    <w:multiLevelType w:val="multilevel"/>
    <w:tmpl w:val="14C62FCC"/>
    <w:numStyleLink w:val="ListAlpha"/>
  </w:abstractNum>
  <w:num w:numId="1">
    <w:abstractNumId w:val="24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19"/>
  </w:num>
  <w:num w:numId="9">
    <w:abstractNumId w:val="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21"/>
  </w:num>
  <w:num w:numId="15">
    <w:abstractNumId w:val="6"/>
  </w:num>
  <w:num w:numId="16">
    <w:abstractNumId w:val="17"/>
  </w:num>
  <w:num w:numId="17">
    <w:abstractNumId w:val="22"/>
  </w:num>
  <w:num w:numId="18">
    <w:abstractNumId w:val="12"/>
  </w:num>
  <w:num w:numId="19">
    <w:abstractNumId w:val="0"/>
  </w:num>
  <w:num w:numId="20">
    <w:abstractNumId w:val="1"/>
  </w:num>
  <w:num w:numId="21">
    <w:abstractNumId w:val="8"/>
  </w:num>
  <w:num w:numId="22">
    <w:abstractNumId w:val="8"/>
  </w:num>
  <w:num w:numId="23">
    <w:abstractNumId w:val="8"/>
  </w:num>
  <w:num w:numId="24">
    <w:abstractNumId w:val="7"/>
  </w:num>
  <w:num w:numId="25">
    <w:abstractNumId w:val="22"/>
  </w:num>
  <w:num w:numId="26">
    <w:abstractNumId w:val="22"/>
  </w:num>
  <w:num w:numId="27">
    <w:abstractNumId w:val="13"/>
  </w:num>
  <w:num w:numId="28">
    <w:abstractNumId w:val="18"/>
  </w:num>
  <w:num w:numId="29">
    <w:abstractNumId w:val="15"/>
  </w:num>
  <w:num w:numId="30">
    <w:abstractNumId w:val="14"/>
  </w:num>
  <w:num w:numId="3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01A96"/>
    <w:rsid w:val="00015848"/>
    <w:rsid w:val="00021611"/>
    <w:rsid w:val="0004428B"/>
    <w:rsid w:val="0008388C"/>
    <w:rsid w:val="00086082"/>
    <w:rsid w:val="00097C98"/>
    <w:rsid w:val="000A08DF"/>
    <w:rsid w:val="000A474A"/>
    <w:rsid w:val="000B3706"/>
    <w:rsid w:val="000C55AC"/>
    <w:rsid w:val="000F1E70"/>
    <w:rsid w:val="000F6A8F"/>
    <w:rsid w:val="00107D7F"/>
    <w:rsid w:val="0011329D"/>
    <w:rsid w:val="001137D8"/>
    <w:rsid w:val="0014111A"/>
    <w:rsid w:val="001425A4"/>
    <w:rsid w:val="00156012"/>
    <w:rsid w:val="00171E5B"/>
    <w:rsid w:val="0017799E"/>
    <w:rsid w:val="00186435"/>
    <w:rsid w:val="001C2CCD"/>
    <w:rsid w:val="001D5652"/>
    <w:rsid w:val="001D5E94"/>
    <w:rsid w:val="001E544B"/>
    <w:rsid w:val="001F4FC6"/>
    <w:rsid w:val="00212DC0"/>
    <w:rsid w:val="00222256"/>
    <w:rsid w:val="00227B8A"/>
    <w:rsid w:val="00227DB4"/>
    <w:rsid w:val="002660E5"/>
    <w:rsid w:val="002701C0"/>
    <w:rsid w:val="00276E31"/>
    <w:rsid w:val="00285434"/>
    <w:rsid w:val="00295738"/>
    <w:rsid w:val="002972DF"/>
    <w:rsid w:val="002979E4"/>
    <w:rsid w:val="002A2F84"/>
    <w:rsid w:val="002A4088"/>
    <w:rsid w:val="002B18D4"/>
    <w:rsid w:val="002B1B8A"/>
    <w:rsid w:val="002C6C8C"/>
    <w:rsid w:val="002D0D48"/>
    <w:rsid w:val="002F239E"/>
    <w:rsid w:val="002F612F"/>
    <w:rsid w:val="003020C5"/>
    <w:rsid w:val="00313543"/>
    <w:rsid w:val="003306A0"/>
    <w:rsid w:val="0034066C"/>
    <w:rsid w:val="003433DA"/>
    <w:rsid w:val="00362195"/>
    <w:rsid w:val="00363713"/>
    <w:rsid w:val="003772C0"/>
    <w:rsid w:val="0039397C"/>
    <w:rsid w:val="003939E1"/>
    <w:rsid w:val="003A18C6"/>
    <w:rsid w:val="003B0FA4"/>
    <w:rsid w:val="003B55EB"/>
    <w:rsid w:val="003C7EAE"/>
    <w:rsid w:val="003E01D0"/>
    <w:rsid w:val="00405974"/>
    <w:rsid w:val="004142F1"/>
    <w:rsid w:val="00420757"/>
    <w:rsid w:val="004318FD"/>
    <w:rsid w:val="00436F87"/>
    <w:rsid w:val="00440DB5"/>
    <w:rsid w:val="00443CA9"/>
    <w:rsid w:val="00445521"/>
    <w:rsid w:val="00452499"/>
    <w:rsid w:val="004527A9"/>
    <w:rsid w:val="004608A4"/>
    <w:rsid w:val="00470D85"/>
    <w:rsid w:val="00471673"/>
    <w:rsid w:val="004909C5"/>
    <w:rsid w:val="004A5470"/>
    <w:rsid w:val="004B3A22"/>
    <w:rsid w:val="004C2CF0"/>
    <w:rsid w:val="004D7526"/>
    <w:rsid w:val="004E57E7"/>
    <w:rsid w:val="00501C37"/>
    <w:rsid w:val="0051367C"/>
    <w:rsid w:val="0052671E"/>
    <w:rsid w:val="00534708"/>
    <w:rsid w:val="00541285"/>
    <w:rsid w:val="005429D2"/>
    <w:rsid w:val="00543502"/>
    <w:rsid w:val="00547A74"/>
    <w:rsid w:val="00552BAC"/>
    <w:rsid w:val="00561F8C"/>
    <w:rsid w:val="00563331"/>
    <w:rsid w:val="00563A0B"/>
    <w:rsid w:val="00583611"/>
    <w:rsid w:val="005A4F78"/>
    <w:rsid w:val="005B01E1"/>
    <w:rsid w:val="005B3813"/>
    <w:rsid w:val="005B54F0"/>
    <w:rsid w:val="005C06BC"/>
    <w:rsid w:val="005D0167"/>
    <w:rsid w:val="005E10D6"/>
    <w:rsid w:val="005E1181"/>
    <w:rsid w:val="005E467C"/>
    <w:rsid w:val="005E7363"/>
    <w:rsid w:val="00611704"/>
    <w:rsid w:val="00621E62"/>
    <w:rsid w:val="00624F5A"/>
    <w:rsid w:val="006355EE"/>
    <w:rsid w:val="006379E1"/>
    <w:rsid w:val="00662AFF"/>
    <w:rsid w:val="00670B05"/>
    <w:rsid w:val="0068254F"/>
    <w:rsid w:val="00685D22"/>
    <w:rsid w:val="006868A4"/>
    <w:rsid w:val="0069016B"/>
    <w:rsid w:val="00697541"/>
    <w:rsid w:val="006B1921"/>
    <w:rsid w:val="006C0E44"/>
    <w:rsid w:val="006E26DE"/>
    <w:rsid w:val="006F6B8D"/>
    <w:rsid w:val="00717162"/>
    <w:rsid w:val="007346DB"/>
    <w:rsid w:val="007356D2"/>
    <w:rsid w:val="00736CAC"/>
    <w:rsid w:val="00740643"/>
    <w:rsid w:val="00747BDE"/>
    <w:rsid w:val="00764537"/>
    <w:rsid w:val="00766248"/>
    <w:rsid w:val="00772D27"/>
    <w:rsid w:val="00781872"/>
    <w:rsid w:val="0078636D"/>
    <w:rsid w:val="007B215D"/>
    <w:rsid w:val="007B3C27"/>
    <w:rsid w:val="007C38B8"/>
    <w:rsid w:val="007D2CE8"/>
    <w:rsid w:val="007E4B9A"/>
    <w:rsid w:val="007E6281"/>
    <w:rsid w:val="007F085B"/>
    <w:rsid w:val="00822D6E"/>
    <w:rsid w:val="00826F1B"/>
    <w:rsid w:val="00834296"/>
    <w:rsid w:val="00836EFB"/>
    <w:rsid w:val="0084614B"/>
    <w:rsid w:val="00862690"/>
    <w:rsid w:val="00883055"/>
    <w:rsid w:val="00891E09"/>
    <w:rsid w:val="008940F6"/>
    <w:rsid w:val="008A4773"/>
    <w:rsid w:val="008A6904"/>
    <w:rsid w:val="008B2DBC"/>
    <w:rsid w:val="008D42BB"/>
    <w:rsid w:val="008E4447"/>
    <w:rsid w:val="00907CF2"/>
    <w:rsid w:val="00913E69"/>
    <w:rsid w:val="0092032B"/>
    <w:rsid w:val="00932C53"/>
    <w:rsid w:val="0093429F"/>
    <w:rsid w:val="0093700B"/>
    <w:rsid w:val="0093761E"/>
    <w:rsid w:val="00943C91"/>
    <w:rsid w:val="00953089"/>
    <w:rsid w:val="00974ED9"/>
    <w:rsid w:val="009A1305"/>
    <w:rsid w:val="009A4C08"/>
    <w:rsid w:val="009B1888"/>
    <w:rsid w:val="009B5E34"/>
    <w:rsid w:val="009C4A4A"/>
    <w:rsid w:val="009D6143"/>
    <w:rsid w:val="009E1815"/>
    <w:rsid w:val="009E1A22"/>
    <w:rsid w:val="009E3024"/>
    <w:rsid w:val="009E6379"/>
    <w:rsid w:val="009F3881"/>
    <w:rsid w:val="00A05FC3"/>
    <w:rsid w:val="00A0675C"/>
    <w:rsid w:val="00A16825"/>
    <w:rsid w:val="00A227DF"/>
    <w:rsid w:val="00A2741E"/>
    <w:rsid w:val="00A34437"/>
    <w:rsid w:val="00A5597A"/>
    <w:rsid w:val="00A56EB0"/>
    <w:rsid w:val="00A61DDF"/>
    <w:rsid w:val="00A666F7"/>
    <w:rsid w:val="00A67E4F"/>
    <w:rsid w:val="00A93E92"/>
    <w:rsid w:val="00A96368"/>
    <w:rsid w:val="00AB2235"/>
    <w:rsid w:val="00AD7ED8"/>
    <w:rsid w:val="00AF56D8"/>
    <w:rsid w:val="00B00EB1"/>
    <w:rsid w:val="00B025B0"/>
    <w:rsid w:val="00B04250"/>
    <w:rsid w:val="00B22195"/>
    <w:rsid w:val="00B27D0C"/>
    <w:rsid w:val="00B3184C"/>
    <w:rsid w:val="00B346F8"/>
    <w:rsid w:val="00B41A78"/>
    <w:rsid w:val="00B52C8D"/>
    <w:rsid w:val="00B57088"/>
    <w:rsid w:val="00B742E4"/>
    <w:rsid w:val="00B80565"/>
    <w:rsid w:val="00B91734"/>
    <w:rsid w:val="00B9439E"/>
    <w:rsid w:val="00B946A0"/>
    <w:rsid w:val="00BA49F8"/>
    <w:rsid w:val="00BC0A35"/>
    <w:rsid w:val="00BC0E71"/>
    <w:rsid w:val="00BD483B"/>
    <w:rsid w:val="00BE75B3"/>
    <w:rsid w:val="00C2010E"/>
    <w:rsid w:val="00C20C17"/>
    <w:rsid w:val="00C33B32"/>
    <w:rsid w:val="00C400F6"/>
    <w:rsid w:val="00C530B4"/>
    <w:rsid w:val="00C541B6"/>
    <w:rsid w:val="00C72AC7"/>
    <w:rsid w:val="00C753C5"/>
    <w:rsid w:val="00C822A6"/>
    <w:rsid w:val="00C82D6E"/>
    <w:rsid w:val="00C839FC"/>
    <w:rsid w:val="00C86236"/>
    <w:rsid w:val="00C866E0"/>
    <w:rsid w:val="00C9450C"/>
    <w:rsid w:val="00CA525A"/>
    <w:rsid w:val="00CC6675"/>
    <w:rsid w:val="00CD7ECD"/>
    <w:rsid w:val="00CE558D"/>
    <w:rsid w:val="00CF5BFA"/>
    <w:rsid w:val="00D02626"/>
    <w:rsid w:val="00D03ED2"/>
    <w:rsid w:val="00D1018C"/>
    <w:rsid w:val="00D122B7"/>
    <w:rsid w:val="00D21BC8"/>
    <w:rsid w:val="00D3057D"/>
    <w:rsid w:val="00D3093B"/>
    <w:rsid w:val="00D41A0F"/>
    <w:rsid w:val="00D543E4"/>
    <w:rsid w:val="00D8247B"/>
    <w:rsid w:val="00D83592"/>
    <w:rsid w:val="00D86F2E"/>
    <w:rsid w:val="00DB4471"/>
    <w:rsid w:val="00DD0AFE"/>
    <w:rsid w:val="00DD50F5"/>
    <w:rsid w:val="00DD74C1"/>
    <w:rsid w:val="00E325FD"/>
    <w:rsid w:val="00E33C05"/>
    <w:rsid w:val="00E4357E"/>
    <w:rsid w:val="00E53A7F"/>
    <w:rsid w:val="00E606A9"/>
    <w:rsid w:val="00E65571"/>
    <w:rsid w:val="00E661A0"/>
    <w:rsid w:val="00E87A8D"/>
    <w:rsid w:val="00EA1DF1"/>
    <w:rsid w:val="00EA2339"/>
    <w:rsid w:val="00EB27A3"/>
    <w:rsid w:val="00EB3CA1"/>
    <w:rsid w:val="00EC46EC"/>
    <w:rsid w:val="00ED4E41"/>
    <w:rsid w:val="00ED500F"/>
    <w:rsid w:val="00EE4BEC"/>
    <w:rsid w:val="00EE6B9C"/>
    <w:rsid w:val="00F25057"/>
    <w:rsid w:val="00F36170"/>
    <w:rsid w:val="00F36E59"/>
    <w:rsid w:val="00F56124"/>
    <w:rsid w:val="00F61255"/>
    <w:rsid w:val="00F6637F"/>
    <w:rsid w:val="00F83C76"/>
    <w:rsid w:val="00F86CE7"/>
    <w:rsid w:val="00F87F56"/>
    <w:rsid w:val="00F9270F"/>
    <w:rsid w:val="00F965AE"/>
    <w:rsid w:val="00FB25EE"/>
    <w:rsid w:val="00FB7CAD"/>
    <w:rsid w:val="00FC0BC3"/>
    <w:rsid w:val="00FD1621"/>
    <w:rsid w:val="00FD21FC"/>
    <w:rsid w:val="00FE0BFF"/>
    <w:rsid w:val="00FE263F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42030C5"/>
  <w15:chartTrackingRefBased/>
  <w15:docId w15:val="{AB69C833-B757-4674-8254-0460094B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B57088"/>
    <w:pPr>
      <w:numPr>
        <w:numId w:val="30"/>
      </w:numPr>
      <w:spacing w:before="60" w:after="60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357E"/>
    <w:pPr>
      <w:spacing w:after="0" w:line="240" w:lineRule="auto"/>
    </w:pPr>
    <w:rPr>
      <w:sz w:val="20"/>
    </w:rPr>
  </w:style>
  <w:style w:type="numbering" w:customStyle="1" w:styleId="ListParagraph0">
    <w:name w:val="List Paragraph0"/>
    <w:uiPriority w:val="99"/>
    <w:rsid w:val="00C72AC7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292482"/>
    <w:rsid w:val="00325D47"/>
    <w:rsid w:val="00424476"/>
    <w:rsid w:val="00602C3C"/>
    <w:rsid w:val="00630D5F"/>
    <w:rsid w:val="00644C96"/>
    <w:rsid w:val="00800972"/>
    <w:rsid w:val="00816297"/>
    <w:rsid w:val="00851586"/>
    <w:rsid w:val="00852C1E"/>
    <w:rsid w:val="00895678"/>
    <w:rsid w:val="008B391C"/>
    <w:rsid w:val="009005AC"/>
    <w:rsid w:val="0096149E"/>
    <w:rsid w:val="009D00F9"/>
    <w:rsid w:val="00A20911"/>
    <w:rsid w:val="00C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848C-5CAE-4F30-A2E6-8032AC0F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1062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Links>
    <vt:vector size="12" baseType="variant"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http://www.waternsw.com.au/</vt:lpwstr>
      </vt:variant>
      <vt:variant>
        <vt:lpwstr/>
      </vt:variant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http://www.waternsw.com.au/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Paola Pereanez</cp:lastModifiedBy>
  <cp:revision>87</cp:revision>
  <cp:lastPrinted>2018-08-22T18:37:00Z</cp:lastPrinted>
  <dcterms:created xsi:type="dcterms:W3CDTF">2022-02-23T20:20:00Z</dcterms:created>
  <dcterms:modified xsi:type="dcterms:W3CDTF">2022-03-15T00:05:00Z</dcterms:modified>
</cp:coreProperties>
</file>