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End w:id="0" w:displacedByCustomXml="next"/>
    <w:bookmarkStart w:id="1" w:name="_Toc479691425" w:displacedByCustomXml="next"/>
    <w:bookmarkEnd w:id="1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p w14:paraId="2592FE62" w14:textId="60581983" w:rsidR="00E65571" w:rsidRPr="00E65571" w:rsidRDefault="00822CB0" w:rsidP="4FF6D877">
          <w:pPr>
            <w:pStyle w:val="BodyText"/>
            <w:rPr>
              <w:b/>
              <w:bCs/>
              <w:sz w:val="24"/>
              <w:szCs w:val="24"/>
            </w:rPr>
          </w:pPr>
          <w:r w:rsidRPr="00822CB0">
            <w:rPr>
              <w:b/>
              <w:bCs/>
              <w:sz w:val="24"/>
              <w:szCs w:val="24"/>
            </w:rPr>
            <w:t>Portfolio</w:t>
          </w:r>
          <w:r>
            <w:rPr>
              <w:b/>
              <w:bCs/>
              <w:sz w:val="17"/>
              <w:lang w:val="en-US"/>
            </w:rPr>
            <w:t xml:space="preserve">: </w:t>
          </w:r>
          <w:r w:rsidR="00DD6012">
            <w:rPr>
              <w:b/>
              <w:bCs/>
              <w:sz w:val="24"/>
              <w:szCs w:val="24"/>
            </w:rPr>
            <w:t>Corporate Affairs</w:t>
          </w:r>
          <w:r w:rsidR="00E65571">
            <w:br/>
          </w:r>
          <w:r w:rsidR="00E65571" w:rsidRPr="4FF6D877">
            <w:rPr>
              <w:b/>
              <w:bCs/>
              <w:sz w:val="24"/>
              <w:szCs w:val="24"/>
            </w:rPr>
            <w:t>Reporting to</w:t>
          </w:r>
          <w:r>
            <w:rPr>
              <w:b/>
              <w:bCs/>
              <w:sz w:val="24"/>
              <w:szCs w:val="24"/>
            </w:rPr>
            <w:t>:</w:t>
          </w:r>
          <w:r w:rsidR="00E65571" w:rsidRPr="4FF6D877">
            <w:rPr>
              <w:b/>
              <w:bCs/>
              <w:sz w:val="24"/>
              <w:szCs w:val="24"/>
            </w:rPr>
            <w:t xml:space="preserve"> </w:t>
          </w:r>
          <w:r w:rsidR="0078043E" w:rsidRPr="4FF6D877">
            <w:rPr>
              <w:b/>
              <w:bCs/>
              <w:sz w:val="24"/>
              <w:szCs w:val="24"/>
            </w:rPr>
            <w:t xml:space="preserve">Government Relations </w:t>
          </w:r>
          <w:r>
            <w:rPr>
              <w:b/>
              <w:bCs/>
              <w:sz w:val="24"/>
              <w:szCs w:val="24"/>
            </w:rPr>
            <w:t>&amp;</w:t>
          </w:r>
          <w:r w:rsidR="00394880">
            <w:rPr>
              <w:b/>
              <w:bCs/>
              <w:sz w:val="24"/>
              <w:szCs w:val="24"/>
            </w:rPr>
            <w:t xml:space="preserve"> Media </w:t>
          </w:r>
          <w:r w:rsidR="00BB2797">
            <w:rPr>
              <w:b/>
              <w:bCs/>
              <w:sz w:val="24"/>
              <w:szCs w:val="24"/>
            </w:rPr>
            <w:t>Manager</w:t>
          </w:r>
        </w:p>
        <w:p w14:paraId="1335B811" w14:textId="77777777" w:rsidR="00A5597A" w:rsidRPr="00B501BE" w:rsidRDefault="00A5597A" w:rsidP="00A5597A">
          <w:pPr>
            <w:pStyle w:val="Heading2"/>
          </w:pPr>
          <w:r>
            <w:t>Position Purpose</w:t>
          </w:r>
        </w:p>
        <w:p w14:paraId="016BD18C" w14:textId="20611B2B" w:rsidR="00A5597A" w:rsidRPr="00D95AFB" w:rsidRDefault="00D95AFB" w:rsidP="00D95AFB">
          <w:pPr>
            <w:spacing w:before="240"/>
            <w:rPr>
              <w:rFonts w:cs="Arial"/>
              <w:color w:val="3098FF" w:themeColor="accent1" w:themeTint="99"/>
            </w:rPr>
          </w:pPr>
          <w:r>
            <w:t>Coordinate the preparation of ministerial briefings, correspondence</w:t>
          </w:r>
          <w:r w:rsidR="00BC2229">
            <w:t>, reporting, parliamentary information</w:t>
          </w:r>
          <w:r>
            <w:t xml:space="preserve"> and other ministerial submissions and advice</w:t>
          </w:r>
          <w:r w:rsidR="009D0AE0" w:rsidRPr="009D0AE0">
            <w:t>. Assist across the Corporate Affairs portfolio on related issues, as needed</w:t>
          </w:r>
          <w:r w:rsidR="0079394A">
            <w:t xml:space="preserve"> and put safety first</w:t>
          </w:r>
          <w:r w:rsidR="009D0AE0" w:rsidRPr="009D0AE0">
            <w:t>.</w:t>
          </w:r>
        </w:p>
        <w:p w14:paraId="2052A5D4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1DB071D0" w14:textId="090C47C6" w:rsidR="00A5597A" w:rsidRPr="00E4620D" w:rsidRDefault="00A5597A" w:rsidP="00CB3AF1">
          <w:pPr>
            <w:pStyle w:val="ListNumber0"/>
            <w:tabs>
              <w:tab w:val="clear" w:pos="284"/>
            </w:tabs>
            <w:ind w:left="567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 w:rsidR="00186676">
            <w:t>everyone</w:t>
          </w:r>
          <w:r w:rsidRPr="00707886">
            <w:t xml:space="preserve">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150AF598" w14:textId="77777777" w:rsidR="00A5597A" w:rsidRPr="00980A17" w:rsidRDefault="00A5597A" w:rsidP="00CB3AF1">
          <w:pPr>
            <w:pStyle w:val="ListNumber0"/>
            <w:tabs>
              <w:tab w:val="clear" w:pos="284"/>
            </w:tabs>
            <w:ind w:left="567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18A5CE2F" w14:textId="5C7578DF" w:rsidR="00D95AFB" w:rsidRDefault="00D95AFB" w:rsidP="00CB3AF1">
          <w:pPr>
            <w:pStyle w:val="ListNumber0"/>
            <w:tabs>
              <w:tab w:val="clear" w:pos="284"/>
            </w:tabs>
            <w:ind w:left="567"/>
          </w:pPr>
          <w:r>
            <w:t xml:space="preserve">Ensure </w:t>
          </w:r>
          <w:r w:rsidRPr="009B1313">
            <w:t xml:space="preserve">accurate and timely advice </w:t>
          </w:r>
          <w:r>
            <w:t xml:space="preserve">is provided to </w:t>
          </w:r>
          <w:r w:rsidRPr="009B1313">
            <w:t xml:space="preserve">government </w:t>
          </w:r>
          <w:r>
            <w:t xml:space="preserve">for </w:t>
          </w:r>
          <w:r w:rsidRPr="009B1313">
            <w:t>decision making</w:t>
          </w:r>
          <w:r>
            <w:t xml:space="preserve">; including </w:t>
          </w:r>
          <w:r w:rsidRPr="009B1313">
            <w:t xml:space="preserve">preparation of </w:t>
          </w:r>
          <w:r w:rsidR="00775253">
            <w:t>information and</w:t>
          </w:r>
          <w:r w:rsidRPr="009B1313">
            <w:t xml:space="preserve"> advice, ministerial briefings</w:t>
          </w:r>
          <w:r w:rsidR="00775253">
            <w:t>, parliamentary material,</w:t>
          </w:r>
          <w:r w:rsidRPr="009B1313">
            <w:t xml:space="preserve"> and </w:t>
          </w:r>
          <w:r>
            <w:t>correspondence.</w:t>
          </w:r>
        </w:p>
        <w:p w14:paraId="5F0A8CDB" w14:textId="570EECC6" w:rsidR="59D1FD49" w:rsidRDefault="00A37C12" w:rsidP="4FF6D877">
          <w:pPr>
            <w:pStyle w:val="ListNumber0"/>
            <w:tabs>
              <w:tab w:val="clear" w:pos="284"/>
            </w:tabs>
            <w:ind w:left="567"/>
          </w:pPr>
          <w:r>
            <w:t xml:space="preserve">Manage Ministerial correspondence from </w:t>
          </w:r>
          <w:r w:rsidR="00AD610E">
            <w:t>receipt to final sign off</w:t>
          </w:r>
          <w:r>
            <w:t xml:space="preserve">, ensuring appropriate internal approvals are </w:t>
          </w:r>
          <w:r w:rsidR="00295E83">
            <w:t>obtained</w:t>
          </w:r>
          <w:r w:rsidR="00AD610E">
            <w:t xml:space="preserve"> and that matters are completed, where possible, within timeframes</w:t>
          </w:r>
          <w:r w:rsidR="00866839">
            <w:t>.</w:t>
          </w:r>
          <w:r w:rsidR="59D1FD49">
            <w:t xml:space="preserve">    </w:t>
          </w:r>
        </w:p>
        <w:p w14:paraId="6422C682" w14:textId="6015EDF4" w:rsidR="00D95AFB" w:rsidRPr="009B1313" w:rsidRDefault="0A67F359" w:rsidP="00CB3AF1">
          <w:pPr>
            <w:pStyle w:val="ListNumber0"/>
            <w:tabs>
              <w:tab w:val="clear" w:pos="284"/>
            </w:tabs>
            <w:ind w:left="567"/>
          </w:pPr>
          <w:r>
            <w:t>Administer</w:t>
          </w:r>
          <w:r w:rsidR="008D0C4F">
            <w:t xml:space="preserve"> the</w:t>
          </w:r>
          <w:r>
            <w:t xml:space="preserve"> </w:t>
          </w:r>
          <w:r w:rsidR="6AC4189A">
            <w:t>track</w:t>
          </w:r>
          <w:r w:rsidR="514AF336">
            <w:t>ing</w:t>
          </w:r>
          <w:r>
            <w:t xml:space="preserve"> system and prepare performance reports for Ministerial correspondence</w:t>
          </w:r>
          <w:r w:rsidR="06F82830">
            <w:t xml:space="preserve"> and </w:t>
          </w:r>
          <w:r w:rsidR="008D0C4F">
            <w:t>briefings</w:t>
          </w:r>
          <w:r>
            <w:t>, identifying trends and improvement opportunities.</w:t>
          </w:r>
        </w:p>
        <w:p w14:paraId="54DAD5FD" w14:textId="3C1476D3" w:rsidR="00D95AFB" w:rsidRPr="009B1313" w:rsidRDefault="62FD196F" w:rsidP="00CB3AF1">
          <w:pPr>
            <w:pStyle w:val="ListNumber0"/>
            <w:tabs>
              <w:tab w:val="clear" w:pos="284"/>
            </w:tabs>
            <w:ind w:left="567"/>
          </w:pPr>
          <w:r>
            <w:t xml:space="preserve">Undertake day to day interaction with the minister’s office and </w:t>
          </w:r>
          <w:r w:rsidR="00202F4D">
            <w:t>other Government agencies</w:t>
          </w:r>
          <w:r>
            <w:t xml:space="preserve"> in relation to requests for information and briefings. Ensure effective internal and external relationships are developed and maintained to enable the timely preparation and coordination of appropriate advice.</w:t>
          </w:r>
        </w:p>
        <w:p w14:paraId="035BC29A" w14:textId="77777777" w:rsidR="00CF48E8" w:rsidRDefault="619ECDD6" w:rsidP="00CF48E8">
          <w:pPr>
            <w:pStyle w:val="ListNumber0"/>
            <w:tabs>
              <w:tab w:val="clear" w:pos="284"/>
            </w:tabs>
            <w:ind w:left="567"/>
            <w:rPr>
              <w:szCs w:val="20"/>
            </w:rPr>
          </w:pPr>
          <w:r w:rsidRPr="4FF6D877">
            <w:rPr>
              <w:szCs w:val="20"/>
            </w:rPr>
            <w:t>Coordinate internal stakeholders to ensure information that is provided to the Minister’s office is accurate, timely and released in accordance with WaterNSW’s</w:t>
          </w:r>
          <w:r w:rsidR="00636D2E">
            <w:rPr>
              <w:szCs w:val="20"/>
            </w:rPr>
            <w:t xml:space="preserve"> policy and procedure.</w:t>
          </w:r>
        </w:p>
        <w:p w14:paraId="6FF7861F" w14:textId="77777777" w:rsidR="00CF48E8" w:rsidRDefault="00CF48E8" w:rsidP="00CF48E8">
          <w:pPr>
            <w:pStyle w:val="ListNumber0"/>
            <w:tabs>
              <w:tab w:val="clear" w:pos="284"/>
            </w:tabs>
            <w:ind w:left="567"/>
            <w:rPr>
              <w:szCs w:val="20"/>
            </w:rPr>
          </w:pPr>
          <w:r w:rsidRPr="00CF48E8">
            <w:rPr>
              <w:szCs w:val="20"/>
            </w:rPr>
            <w:t xml:space="preserve">Frequent drafting, and editing and sending of correspondence, reports, briefing notes, messaging and other public affairs materials as required. </w:t>
          </w:r>
        </w:p>
        <w:p w14:paraId="37E196BF" w14:textId="2BD880F3" w:rsidR="00CF48E8" w:rsidRPr="00CF48E8" w:rsidRDefault="00CF48E8" w:rsidP="00CF48E8">
          <w:pPr>
            <w:pStyle w:val="ListNumber0"/>
            <w:tabs>
              <w:tab w:val="clear" w:pos="284"/>
            </w:tabs>
            <w:ind w:left="567"/>
            <w:rPr>
              <w:szCs w:val="20"/>
            </w:rPr>
          </w:pPr>
          <w:r w:rsidRPr="00CF48E8">
            <w:rPr>
              <w:rFonts w:ascii="Arial" w:hAnsi="Arial" w:cs="Arial"/>
              <w:szCs w:val="20"/>
            </w:rPr>
            <w:t>​</w:t>
          </w:r>
          <w:r w:rsidRPr="00CF48E8">
            <w:rPr>
              <w:szCs w:val="20"/>
            </w:rPr>
            <w:t xml:space="preserve">Assist across the </w:t>
          </w:r>
          <w:r>
            <w:rPr>
              <w:szCs w:val="20"/>
            </w:rPr>
            <w:t xml:space="preserve">government relations and media </w:t>
          </w:r>
          <w:r w:rsidRPr="00CF48E8">
            <w:rPr>
              <w:szCs w:val="20"/>
            </w:rPr>
            <w:t>team, including support for media and other corporate communications activities</w:t>
          </w:r>
          <w:r w:rsidR="002B43AC">
            <w:rPr>
              <w:szCs w:val="20"/>
            </w:rPr>
            <w:t>.</w:t>
          </w:r>
          <w:r w:rsidRPr="00CF48E8">
            <w:rPr>
              <w:szCs w:val="20"/>
            </w:rPr>
            <w:t xml:space="preserve">  </w:t>
          </w:r>
        </w:p>
        <w:p w14:paraId="6D033B63" w14:textId="77777777" w:rsidR="00A5597A" w:rsidRDefault="00A5597A" w:rsidP="00A5597A">
          <w:pPr>
            <w:pStyle w:val="Heading2"/>
          </w:pPr>
          <w:r>
            <w:lastRenderedPageBreak/>
            <w:t>Key Challenges</w:t>
          </w:r>
        </w:p>
        <w:p w14:paraId="181A2605" w14:textId="20F22784" w:rsidR="00860D56" w:rsidRDefault="00D95AFB" w:rsidP="00860D56">
          <w:pPr>
            <w:pStyle w:val="ListBulletDarkBlue"/>
          </w:pPr>
          <w:r w:rsidRPr="009B1313">
            <w:t xml:space="preserve">Operating </w:t>
          </w:r>
          <w:r w:rsidR="00860D56">
            <w:t xml:space="preserve">in a complex policy environment with other natural resource agencies and utilities, information on complex issues in a timely manner. </w:t>
          </w:r>
        </w:p>
        <w:p w14:paraId="04FB70E5" w14:textId="3C594542" w:rsidR="00860D56" w:rsidRDefault="00860D56" w:rsidP="00860D56">
          <w:pPr>
            <w:pStyle w:val="ListBulletDarkBlue"/>
          </w:pPr>
          <w:r>
            <w:rPr>
              <w:rFonts w:ascii="Arial" w:hAnsi="Arial" w:cs="Arial"/>
            </w:rPr>
            <w:t>​</w:t>
          </w:r>
          <w:r>
            <w:t xml:space="preserve">Ensure all materials are comprehensive, accurate, timely, consistent with previous material, government and WaterNSW policy and procedures/standards, and have the appropriate level of approval.  </w:t>
          </w:r>
        </w:p>
        <w:p w14:paraId="0E449472" w14:textId="77777777" w:rsidR="00860D56" w:rsidRDefault="00860D56" w:rsidP="00860D56">
          <w:pPr>
            <w:pStyle w:val="ListBulletDarkBlue"/>
          </w:pPr>
          <w:r>
            <w:rPr>
              <w:rFonts w:ascii="Arial" w:hAnsi="Arial" w:cs="Arial"/>
            </w:rPr>
            <w:t>​</w:t>
          </w:r>
          <w:r>
            <w:t xml:space="preserve">Complex issues must be articulated in concise and astute responses, in simple, easily understood language.  </w:t>
          </w:r>
        </w:p>
        <w:p w14:paraId="44D97D77" w14:textId="245F1AE3" w:rsidR="00860D56" w:rsidRPr="009B1313" w:rsidRDefault="00860D56" w:rsidP="00860D56">
          <w:pPr>
            <w:pStyle w:val="ListBulletDarkBlue"/>
          </w:pPr>
          <w:r>
            <w:rPr>
              <w:rFonts w:ascii="Arial" w:hAnsi="Arial" w:cs="Arial"/>
            </w:rPr>
            <w:t>​</w:t>
          </w:r>
          <w:r>
            <w:t xml:space="preserve">Ability to recognise potential issues and escalate in a timely manner.  </w:t>
          </w:r>
        </w:p>
        <w:p w14:paraId="524F61A5" w14:textId="77777777" w:rsidR="00A5597A" w:rsidRPr="00650CB9" w:rsidRDefault="00A5597A" w:rsidP="00A5597A">
          <w:pPr>
            <w:pStyle w:val="Heading2"/>
          </w:pPr>
          <w:r w:rsidRPr="00650CB9"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:rsidRPr="00650CB9" w14:paraId="285A77F3" w14:textId="77777777" w:rsidTr="0093761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4A61E54F" w14:textId="77777777" w:rsidR="0093761E" w:rsidRPr="00650CB9" w:rsidRDefault="0093761E" w:rsidP="0093761E">
                <w:pPr>
                  <w:pStyle w:val="TableHeading"/>
                </w:pPr>
                <w:r w:rsidRPr="00650CB9">
                  <w:t>Stakeholder</w:t>
                </w:r>
              </w:p>
            </w:tc>
            <w:tc>
              <w:tcPr>
                <w:tcW w:w="4819" w:type="dxa"/>
              </w:tcPr>
              <w:p w14:paraId="28A6F6E5" w14:textId="77777777" w:rsidR="0093761E" w:rsidRPr="00650CB9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50CB9">
                  <w:t>Purpose of Relationship</w:t>
                </w:r>
              </w:p>
            </w:tc>
          </w:tr>
          <w:tr w:rsidR="0093761E" w:rsidRPr="00650CB9" w14:paraId="3CA0BA87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31B86711" w14:textId="4F592143" w:rsidR="0093761E" w:rsidRPr="00650CB9" w:rsidRDefault="00EC7F3B" w:rsidP="0093761E">
                <w:pPr>
                  <w:pStyle w:val="TableText"/>
                </w:pPr>
                <w:r w:rsidRPr="00650CB9">
                  <w:t xml:space="preserve">All </w:t>
                </w:r>
                <w:r w:rsidR="00650CB9" w:rsidRPr="00650CB9">
                  <w:t>Business Units</w:t>
                </w:r>
              </w:p>
            </w:tc>
            <w:tc>
              <w:tcPr>
                <w:tcW w:w="4819" w:type="dxa"/>
              </w:tcPr>
              <w:p w14:paraId="0A56BD16" w14:textId="40E30280" w:rsidR="0093761E" w:rsidRPr="00650CB9" w:rsidRDefault="0008398D" w:rsidP="0093761E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650CB9">
                  <w:rPr>
                    <w:color w:val="0054A6" w:themeColor="accent1"/>
                  </w:rPr>
                  <w:t xml:space="preserve">Coordinate and collaborate with SMEs and Executives </w:t>
                </w:r>
              </w:p>
            </w:tc>
          </w:tr>
        </w:tbl>
        <w:p w14:paraId="662B1ABE" w14:textId="77777777" w:rsidR="00436F87" w:rsidRDefault="00436F87" w:rsidP="00436F87">
          <w:pPr>
            <w:pStyle w:val="Heading2"/>
          </w:pPr>
          <w:r w:rsidRPr="00650CB9"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7831DC54" w14:textId="77777777" w:rsidTr="00945FC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EADC6F6" w14:textId="77777777" w:rsidR="00436F87" w:rsidRDefault="00436F87" w:rsidP="00945FCD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0BB6A057" w14:textId="77777777" w:rsidR="00436F87" w:rsidRDefault="00436F87" w:rsidP="00945FCD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3732D2FC" w14:textId="77777777" w:rsidTr="00945FC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BDE8198" w14:textId="68432CD9" w:rsidR="00436F87" w:rsidRPr="009B5E34" w:rsidRDefault="00D95AFB" w:rsidP="009B5E34">
                <w:pPr>
                  <w:pStyle w:val="TableText"/>
                </w:pPr>
                <w:r>
                  <w:rPr>
                    <w:rFonts w:cs="Arial"/>
                  </w:rPr>
                  <w:t>Ministerial Office</w:t>
                </w:r>
              </w:p>
            </w:tc>
            <w:tc>
              <w:tcPr>
                <w:tcW w:w="4819" w:type="dxa"/>
              </w:tcPr>
              <w:p w14:paraId="121E8075" w14:textId="21AAF44E" w:rsidR="00436F87" w:rsidRPr="009B5E34" w:rsidRDefault="00EC7F3B" w:rsidP="009B5E34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0CB9">
                  <w:rPr>
                    <w:rFonts w:cs="Arial"/>
                    <w:color w:val="0054A6" w:themeColor="accent1"/>
                  </w:rPr>
                  <w:t>Provide timely, accurate advice</w:t>
                </w:r>
              </w:p>
            </w:tc>
          </w:tr>
        </w:tbl>
        <w:p w14:paraId="07287063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356C2DC1" w14:textId="77777777" w:rsidR="00436F87" w:rsidRDefault="00436F87" w:rsidP="007014AA">
          <w:pPr>
            <w:pStyle w:val="ListBulletDarkBlue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122409E7" w14:textId="77777777" w:rsidR="00436F87" w:rsidRPr="00B501BE" w:rsidRDefault="00436F87" w:rsidP="00436F87">
          <w:pPr>
            <w:pStyle w:val="Heading2"/>
          </w:pPr>
          <w:r w:rsidRPr="00C56B60"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2410"/>
            <w:gridCol w:w="851"/>
            <w:gridCol w:w="6095"/>
            <w:gridCol w:w="142"/>
            <w:gridCol w:w="140"/>
          </w:tblGrid>
          <w:tr w:rsidR="00436F87" w14:paraId="6A395936" w14:textId="77777777" w:rsidTr="007014AA">
            <w:trPr>
              <w:gridAfter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wAfter w:w="140" w:type="dxa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0B9C8CA8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851" w:type="dxa"/>
              </w:tcPr>
              <w:p w14:paraId="0FCCC32E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237" w:type="dxa"/>
                <w:gridSpan w:val="2"/>
              </w:tcPr>
              <w:p w14:paraId="3D686D64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61BBDEB0" w14:textId="77777777" w:rsidTr="007014AA">
            <w:trPr>
              <w:gridAfter w:val="2"/>
              <w:wAfter w:w="282" w:type="dxa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35205C30" w14:textId="6F5011D8" w:rsidR="00436F87" w:rsidRPr="00D95AFB" w:rsidRDefault="00D95AFB" w:rsidP="000A5DBF">
                <w:pPr>
                  <w:pStyle w:val="TableText"/>
                  <w:spacing w:before="0" w:after="0"/>
                </w:pPr>
                <w:r w:rsidRPr="00D95AFB">
                  <w:t>Communicating with Influence</w:t>
                </w:r>
              </w:p>
            </w:tc>
            <w:tc>
              <w:tcPr>
                <w:tcW w:w="851" w:type="dxa"/>
              </w:tcPr>
              <w:p w14:paraId="357D62AC" w14:textId="1D6A8E3D" w:rsidR="00436F87" w:rsidRDefault="000A5DBF" w:rsidP="000A5DBF">
                <w:pPr>
                  <w:pStyle w:val="TableText"/>
                  <w:spacing w:before="0"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095" w:type="dxa"/>
              </w:tcPr>
              <w:p w14:paraId="250B77E6" w14:textId="77777777" w:rsidR="000A5DBF" w:rsidRPr="000A5DBF" w:rsidRDefault="000A5DBF" w:rsidP="000A5DBF">
                <w:pPr>
                  <w:pStyle w:val="TableText"/>
                  <w:numPr>
                    <w:ilvl w:val="0"/>
                    <w:numId w:val="28"/>
                  </w:numPr>
                  <w:spacing w:before="0" w:after="0"/>
                  <w:ind w:left="42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0A5DBF">
                  <w:rPr>
                    <w:color w:val="0054A6" w:themeColor="accent1"/>
                  </w:rPr>
                  <w:t xml:space="preserve">Tailors communication to suit the audience and uses a range of influencing techniques to build support </w:t>
                </w:r>
              </w:p>
              <w:p w14:paraId="44038640" w14:textId="6F16AC85" w:rsidR="000A5DBF" w:rsidRPr="000A5DBF" w:rsidRDefault="000A5DBF" w:rsidP="000A5DBF">
                <w:pPr>
                  <w:pStyle w:val="TableText"/>
                  <w:numPr>
                    <w:ilvl w:val="0"/>
                    <w:numId w:val="28"/>
                  </w:numPr>
                  <w:spacing w:before="0" w:after="0"/>
                  <w:ind w:left="42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0A5DBF">
                  <w:rPr>
                    <w:color w:val="0054A6" w:themeColor="accent1"/>
                  </w:rPr>
                  <w:t xml:space="preserve">Supports messages with relevant examples, demonstrations and stories </w:t>
                </w:r>
              </w:p>
              <w:p w14:paraId="56421AF8" w14:textId="1B8DA2FA" w:rsidR="000A5DBF" w:rsidRPr="000A5DBF" w:rsidRDefault="000A5DBF" w:rsidP="000A5DBF">
                <w:pPr>
                  <w:pStyle w:val="TableText"/>
                  <w:numPr>
                    <w:ilvl w:val="0"/>
                    <w:numId w:val="28"/>
                  </w:numPr>
                  <w:spacing w:before="0" w:after="0"/>
                  <w:ind w:left="42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0A5DBF">
                  <w:rPr>
                    <w:color w:val="0054A6" w:themeColor="accent1"/>
                  </w:rPr>
                  <w:t xml:space="preserve">Communicates issues clearly with different audiences </w:t>
                </w:r>
              </w:p>
              <w:p w14:paraId="6CF5A554" w14:textId="77777777" w:rsidR="00436F87" w:rsidRPr="00822CB0" w:rsidRDefault="000A5DBF" w:rsidP="000A5DBF">
                <w:pPr>
                  <w:pStyle w:val="TableText"/>
                  <w:numPr>
                    <w:ilvl w:val="0"/>
                    <w:numId w:val="28"/>
                  </w:numPr>
                  <w:spacing w:before="0" w:after="0"/>
                  <w:ind w:left="42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A5DBF">
                  <w:rPr>
                    <w:color w:val="0054A6" w:themeColor="accent1"/>
                  </w:rPr>
                  <w:t xml:space="preserve">Handles challenging questions confidently and constructively </w:t>
                </w:r>
              </w:p>
              <w:p w14:paraId="263F3408" w14:textId="53EC1F1B" w:rsidR="00822CB0" w:rsidRDefault="00822CB0" w:rsidP="00822CB0">
                <w:pPr>
                  <w:pStyle w:val="TableText"/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:rsidRPr="00436F87" w14:paraId="55B31D60" w14:textId="77777777" w:rsidTr="00822CB0">
            <w:trPr>
              <w:gridAfter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wAfter w:w="140" w:type="dxa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5C58E630" w14:textId="77777777" w:rsidR="00436F87" w:rsidRPr="00436F87" w:rsidRDefault="00436F87" w:rsidP="00945FCD">
                <w:pPr>
                  <w:pStyle w:val="TableHeading"/>
                </w:pPr>
                <w:r>
                  <w:lastRenderedPageBreak/>
                  <w:t>Customer</w:t>
                </w:r>
              </w:p>
            </w:tc>
            <w:tc>
              <w:tcPr>
                <w:tcW w:w="851" w:type="dxa"/>
                <w:shd w:val="clear" w:color="auto" w:fill="auto"/>
              </w:tcPr>
              <w:p w14:paraId="5983A676" w14:textId="77777777" w:rsidR="00436F87" w:rsidRPr="00436F87" w:rsidRDefault="00436F87" w:rsidP="00945FCD">
                <w:pPr>
                  <w:pStyle w:val="TableHead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237" w:type="dxa"/>
                <w:gridSpan w:val="2"/>
                <w:shd w:val="clear" w:color="auto" w:fill="auto"/>
              </w:tcPr>
              <w:p w14:paraId="2A95F3B5" w14:textId="77777777" w:rsidR="00436F87" w:rsidRPr="00436F87" w:rsidRDefault="00436F87" w:rsidP="00945FCD">
                <w:pPr>
                  <w:pStyle w:val="TableHead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>
            </w:tc>
          </w:tr>
          <w:tr w:rsidR="00436F87" w14:paraId="2A5DCB5E" w14:textId="77777777" w:rsidTr="007014AA">
            <w:trPr>
              <w:gridAfter w:val="1"/>
              <w:wAfter w:w="140" w:type="dxa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537AD5AC" w14:textId="74FC68AE" w:rsidR="00436F87" w:rsidRPr="00D95AFB" w:rsidRDefault="00D95AFB" w:rsidP="00945FCD">
                <w:pPr>
                  <w:pStyle w:val="TableText"/>
                </w:pPr>
                <w:r w:rsidRPr="00D95AFB">
                  <w:t>Collaboration &amp; Engagement With Customers and Stakeholders</w:t>
                </w:r>
              </w:p>
            </w:tc>
            <w:tc>
              <w:tcPr>
                <w:tcW w:w="851" w:type="dxa"/>
              </w:tcPr>
              <w:p w14:paraId="2A64139C" w14:textId="1BDF89F6" w:rsidR="00436F87" w:rsidRDefault="000A5DBF" w:rsidP="000A5DBF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237" w:type="dxa"/>
                <w:gridSpan w:val="2"/>
              </w:tcPr>
              <w:p w14:paraId="2165D558" w14:textId="77777777" w:rsidR="000A5DBF" w:rsidRPr="000A5DBF" w:rsidRDefault="000A5DBF" w:rsidP="000A5DBF">
                <w:pPr>
                  <w:pStyle w:val="TableText"/>
                  <w:numPr>
                    <w:ilvl w:val="0"/>
                    <w:numId w:val="28"/>
                  </w:numPr>
                  <w:spacing w:before="0" w:after="0"/>
                  <w:ind w:left="42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0A5DBF">
                  <w:rPr>
                    <w:color w:val="0054A6" w:themeColor="accent1"/>
                  </w:rPr>
                  <w:t xml:space="preserve">Builds and maintains relationships with individuals from other work groups to accomplish shared goals </w:t>
                </w:r>
              </w:p>
              <w:p w14:paraId="5C50FF44" w14:textId="1D1F3E9A" w:rsidR="00436F87" w:rsidRDefault="000A5DBF" w:rsidP="000A5DBF">
                <w:pPr>
                  <w:pStyle w:val="TableText"/>
                  <w:numPr>
                    <w:ilvl w:val="0"/>
                    <w:numId w:val="28"/>
                  </w:numPr>
                  <w:spacing w:before="0" w:after="0"/>
                  <w:ind w:left="42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A5DBF">
                  <w:rPr>
                    <w:color w:val="0054A6" w:themeColor="accent1"/>
                  </w:rPr>
                  <w:t xml:space="preserve">Adapts approach to meet the needs of a broad range of customers and stakeholders </w:t>
                </w:r>
              </w:p>
            </w:tc>
          </w:tr>
          <w:tr w:rsidR="00197D1D" w14:paraId="36957DB4" w14:textId="77777777" w:rsidTr="007014AA">
            <w:trPr>
              <w:gridAfter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wAfter w:w="140" w:type="dxa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6F7E4111" w14:textId="5911C44A" w:rsidR="00197D1D" w:rsidRPr="00D95AFB" w:rsidRDefault="00197D1D" w:rsidP="00945FCD">
                <w:pPr>
                  <w:pStyle w:val="TableText"/>
                </w:pPr>
                <w:r>
                  <w:t>Partnering &amp; Advice</w:t>
                </w:r>
              </w:p>
            </w:tc>
            <w:tc>
              <w:tcPr>
                <w:tcW w:w="851" w:type="dxa"/>
                <w:shd w:val="clear" w:color="auto" w:fill="auto"/>
              </w:tcPr>
              <w:p w14:paraId="5993094F" w14:textId="372A3BA4" w:rsidR="00197D1D" w:rsidRDefault="00186676" w:rsidP="000A5DBF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237" w:type="dxa"/>
                <w:gridSpan w:val="2"/>
                <w:shd w:val="clear" w:color="auto" w:fill="auto"/>
              </w:tcPr>
              <w:p w14:paraId="000DCE82" w14:textId="77777777" w:rsidR="00197D1D" w:rsidRPr="00CB3AF1" w:rsidRDefault="00197D1D" w:rsidP="00197D1D">
                <w:pPr>
                  <w:pStyle w:val="TableText"/>
                  <w:numPr>
                    <w:ilvl w:val="0"/>
                    <w:numId w:val="28"/>
                  </w:numPr>
                  <w:spacing w:before="0" w:after="0"/>
                  <w:ind w:left="426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CB3AF1">
                  <w:rPr>
                    <w:color w:val="0054A6" w:themeColor="accent1"/>
                  </w:rPr>
                  <w:t xml:space="preserve">Builds and maintains relationships with individuals from other work groups to accomplish shared goals </w:t>
                </w:r>
              </w:p>
              <w:p w14:paraId="38433974" w14:textId="77777777" w:rsidR="00197D1D" w:rsidRDefault="00197D1D" w:rsidP="00197D1D">
                <w:pPr>
                  <w:pStyle w:val="TableText"/>
                  <w:numPr>
                    <w:ilvl w:val="0"/>
                    <w:numId w:val="28"/>
                  </w:numPr>
                  <w:spacing w:before="0" w:after="0"/>
                  <w:ind w:left="426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CB3AF1">
                  <w:rPr>
                    <w:color w:val="0054A6" w:themeColor="accent1"/>
                  </w:rPr>
                  <w:t>Adapts approach to meet the needs of a broad range of customers and stakeholders</w:t>
                </w:r>
              </w:p>
              <w:p w14:paraId="656BCD7E" w14:textId="77777777" w:rsidR="00186676" w:rsidRPr="00186676" w:rsidRDefault="00186676" w:rsidP="00186676">
                <w:pPr>
                  <w:pStyle w:val="TableText"/>
                  <w:numPr>
                    <w:ilvl w:val="0"/>
                    <w:numId w:val="28"/>
                  </w:numPr>
                  <w:ind w:left="426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186676">
                  <w:rPr>
                    <w:color w:val="0054A6" w:themeColor="accent1"/>
                    <w:lang w:val="en-US"/>
                  </w:rPr>
                  <w:t>Engages in a productive dialogue with the customer to consultatively identify a solution</w:t>
                </w:r>
              </w:p>
              <w:p w14:paraId="73B754AE" w14:textId="77777777" w:rsidR="00186676" w:rsidRPr="00186676" w:rsidRDefault="00186676" w:rsidP="00186676">
                <w:pPr>
                  <w:pStyle w:val="TableText"/>
                  <w:numPr>
                    <w:ilvl w:val="0"/>
                    <w:numId w:val="28"/>
                  </w:numPr>
                  <w:ind w:left="426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186676">
                  <w:rPr>
                    <w:color w:val="0054A6" w:themeColor="accent1"/>
                    <w:lang w:val="en-US"/>
                  </w:rPr>
                  <w:t>Provides credible advice for customers based on an understanding of the underlying issue</w:t>
                </w:r>
              </w:p>
              <w:p w14:paraId="5B38855B" w14:textId="77777777" w:rsidR="00186676" w:rsidRPr="00186676" w:rsidRDefault="00186676" w:rsidP="00186676">
                <w:pPr>
                  <w:pStyle w:val="TableText"/>
                  <w:numPr>
                    <w:ilvl w:val="0"/>
                    <w:numId w:val="28"/>
                  </w:numPr>
                  <w:ind w:left="426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186676">
                  <w:rPr>
                    <w:color w:val="0054A6" w:themeColor="accent1"/>
                    <w:lang w:val="en-US"/>
                  </w:rPr>
                  <w:t xml:space="preserve">Knows when to draw on additional resources to provide appropriate support and advice for customers </w:t>
                </w:r>
              </w:p>
              <w:p w14:paraId="78D8F755" w14:textId="2CB7F81E" w:rsidR="00186676" w:rsidRPr="000A5DBF" w:rsidRDefault="00186676" w:rsidP="00822CB0">
                <w:pPr>
                  <w:pStyle w:val="TableText"/>
                  <w:spacing w:before="0" w:after="0"/>
                  <w:ind w:left="426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54A6" w:themeColor="accent1"/>
                  </w:rPr>
                </w:pPr>
              </w:p>
            </w:tc>
          </w:tr>
          <w:tr w:rsidR="00436F87" w:rsidRPr="00436F87" w14:paraId="1E442158" w14:textId="77777777" w:rsidTr="007014A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65AF0E7E" w14:textId="175E9A78" w:rsidR="00436F87" w:rsidRPr="00436F87" w:rsidRDefault="00CB3AF1" w:rsidP="00945FCD">
                <w:pPr>
                  <w:pStyle w:val="TableHeading"/>
                </w:pPr>
                <w:r>
                  <w:t>B</w:t>
                </w:r>
                <w:r w:rsidR="00436F87">
                  <w:t>usiness</w:t>
                </w:r>
              </w:p>
            </w:tc>
            <w:tc>
              <w:tcPr>
                <w:tcW w:w="851" w:type="dxa"/>
              </w:tcPr>
              <w:p w14:paraId="07CBE818" w14:textId="77777777" w:rsidR="00436F87" w:rsidRPr="00436F87" w:rsidRDefault="00436F87" w:rsidP="00945FCD">
                <w:pPr>
                  <w:pStyle w:val="TableHead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377" w:type="dxa"/>
                <w:gridSpan w:val="3"/>
              </w:tcPr>
              <w:p w14:paraId="34939EE9" w14:textId="77777777" w:rsidR="00436F87" w:rsidRPr="00436F87" w:rsidRDefault="00436F87" w:rsidP="00945FCD">
                <w:pPr>
                  <w:pStyle w:val="TableHead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D95AFB" w14:paraId="47EC3F10" w14:textId="77777777" w:rsidTr="007014A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36BFF87F" w14:textId="17453E02" w:rsidR="00D95AFB" w:rsidRDefault="00D95AFB" w:rsidP="00D95AFB">
                <w:pPr>
                  <w:pStyle w:val="TableText"/>
                </w:pPr>
                <w:r>
                  <w:t>Analysis &amp; Problem Solving</w:t>
                </w:r>
              </w:p>
            </w:tc>
            <w:tc>
              <w:tcPr>
                <w:tcW w:w="851" w:type="dxa"/>
                <w:shd w:val="clear" w:color="auto" w:fill="auto"/>
              </w:tcPr>
              <w:p w14:paraId="7DACFD92" w14:textId="69BC6700" w:rsidR="00D95AFB" w:rsidRDefault="000A5DBF" w:rsidP="000A5DBF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377" w:type="dxa"/>
                <w:gridSpan w:val="3"/>
                <w:shd w:val="clear" w:color="auto" w:fill="auto"/>
              </w:tcPr>
              <w:p w14:paraId="04F1C927" w14:textId="77777777" w:rsidR="00CB3AF1" w:rsidRPr="00CB3AF1" w:rsidRDefault="00CB3AF1" w:rsidP="00CB3AF1">
                <w:pPr>
                  <w:pStyle w:val="TableText"/>
                  <w:numPr>
                    <w:ilvl w:val="0"/>
                    <w:numId w:val="28"/>
                  </w:numPr>
                  <w:spacing w:before="0" w:after="0"/>
                  <w:ind w:left="426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CB3AF1">
                  <w:rPr>
                    <w:color w:val="0054A6" w:themeColor="accent1"/>
                  </w:rPr>
                  <w:t xml:space="preserve">Defines the extent and cause of the problem through observation and investigation </w:t>
                </w:r>
              </w:p>
              <w:p w14:paraId="4ABE8807" w14:textId="222E4CDA" w:rsidR="00CB3AF1" w:rsidRPr="00CB3AF1" w:rsidRDefault="00CB3AF1" w:rsidP="00CB3AF1">
                <w:pPr>
                  <w:pStyle w:val="TableText"/>
                  <w:numPr>
                    <w:ilvl w:val="0"/>
                    <w:numId w:val="28"/>
                  </w:numPr>
                  <w:spacing w:before="0" w:after="0"/>
                  <w:ind w:left="426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CB3AF1">
                  <w:rPr>
                    <w:color w:val="0054A6" w:themeColor="accent1"/>
                  </w:rPr>
                  <w:t xml:space="preserve">Knows when and how to source and use additional information to effectively diagnose the problem and determine suitable solutions. </w:t>
                </w:r>
              </w:p>
              <w:p w14:paraId="0A754A7D" w14:textId="71F108CA" w:rsidR="00CB3AF1" w:rsidRPr="00CB3AF1" w:rsidRDefault="00CB3AF1" w:rsidP="00CB3AF1">
                <w:pPr>
                  <w:pStyle w:val="TableText"/>
                  <w:numPr>
                    <w:ilvl w:val="0"/>
                    <w:numId w:val="28"/>
                  </w:numPr>
                  <w:spacing w:before="0" w:after="0"/>
                  <w:ind w:left="426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CB3AF1">
                  <w:rPr>
                    <w:color w:val="0054A6" w:themeColor="accent1"/>
                  </w:rPr>
                  <w:t xml:space="preserve">Considers all possible solutions and seeks input from subject matter experts where appropriate </w:t>
                </w:r>
              </w:p>
              <w:p w14:paraId="7088B748" w14:textId="43135559" w:rsidR="00D95AFB" w:rsidRPr="00CB3AF1" w:rsidRDefault="00CB3AF1" w:rsidP="00CB3AF1">
                <w:pPr>
                  <w:pStyle w:val="TableText"/>
                  <w:numPr>
                    <w:ilvl w:val="0"/>
                    <w:numId w:val="28"/>
                  </w:numPr>
                  <w:spacing w:before="0" w:after="0"/>
                  <w:ind w:left="426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CB3AF1">
                  <w:rPr>
                    <w:color w:val="0054A6" w:themeColor="accent1"/>
                  </w:rPr>
                  <w:t xml:space="preserve">Takes necessary action to implement the identified solution </w:t>
                </w:r>
              </w:p>
            </w:tc>
          </w:tr>
          <w:tr w:rsidR="000A5DBF" w14:paraId="5EA3AB2C" w14:textId="77777777" w:rsidTr="007014A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1FA4DF57" w14:textId="13DEA52B" w:rsidR="000A5DBF" w:rsidRDefault="000A5DBF" w:rsidP="00D95AFB">
                <w:pPr>
                  <w:pStyle w:val="TableText"/>
                </w:pPr>
                <w:r>
                  <w:t>Continuous Improvement</w:t>
                </w:r>
              </w:p>
            </w:tc>
            <w:tc>
              <w:tcPr>
                <w:tcW w:w="851" w:type="dxa"/>
                <w:shd w:val="clear" w:color="auto" w:fill="auto"/>
              </w:tcPr>
              <w:p w14:paraId="1318BCCA" w14:textId="5F732AB3" w:rsidR="000A5DBF" w:rsidRDefault="000A5DBF" w:rsidP="000A5DBF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377" w:type="dxa"/>
                <w:gridSpan w:val="3"/>
                <w:shd w:val="clear" w:color="auto" w:fill="auto"/>
              </w:tcPr>
              <w:p w14:paraId="491CBEFF" w14:textId="77777777" w:rsidR="00CB3AF1" w:rsidRPr="00CB3AF1" w:rsidRDefault="00CB3AF1" w:rsidP="00CB3AF1">
                <w:pPr>
                  <w:pStyle w:val="TableText"/>
                  <w:numPr>
                    <w:ilvl w:val="0"/>
                    <w:numId w:val="28"/>
                  </w:numPr>
                  <w:spacing w:before="0" w:after="0"/>
                  <w:ind w:left="42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CB3AF1">
                  <w:rPr>
                    <w:color w:val="0054A6" w:themeColor="accent1"/>
                  </w:rPr>
                  <w:t xml:space="preserve">Analyses current processes and practices to identify opportunities for improvement </w:t>
                </w:r>
              </w:p>
              <w:p w14:paraId="6ED81A85" w14:textId="77777777" w:rsidR="00CB3AF1" w:rsidRPr="00CB3AF1" w:rsidRDefault="00CB3AF1" w:rsidP="00CB3AF1">
                <w:pPr>
                  <w:pStyle w:val="TableText"/>
                  <w:numPr>
                    <w:ilvl w:val="0"/>
                    <w:numId w:val="28"/>
                  </w:numPr>
                  <w:spacing w:before="0" w:after="0"/>
                  <w:ind w:left="42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CB3AF1">
                  <w:rPr>
                    <w:color w:val="0054A6" w:themeColor="accent1"/>
                  </w:rPr>
                  <w:t xml:space="preserve">• Identifies patterns in data and information and implements improvements based on this analysis </w:t>
                </w:r>
              </w:p>
              <w:p w14:paraId="737E5101" w14:textId="77777777" w:rsidR="00CB3AF1" w:rsidRPr="00CB3AF1" w:rsidRDefault="00CB3AF1" w:rsidP="00CB3AF1">
                <w:pPr>
                  <w:pStyle w:val="TableText"/>
                  <w:numPr>
                    <w:ilvl w:val="0"/>
                    <w:numId w:val="28"/>
                  </w:numPr>
                  <w:spacing w:before="0" w:after="0"/>
                  <w:ind w:left="42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54A6" w:themeColor="accent1"/>
                  </w:rPr>
                </w:pPr>
                <w:r w:rsidRPr="00CB3AF1">
                  <w:rPr>
                    <w:color w:val="0054A6" w:themeColor="accent1"/>
                  </w:rPr>
                  <w:t xml:space="preserve">• Has knowledge of and able to apply appropriate continuous improvement tools to achieve the best outcome </w:t>
                </w:r>
              </w:p>
              <w:p w14:paraId="370F3CFE" w14:textId="0C536CA0" w:rsidR="000A5DBF" w:rsidRPr="00CB3AF1" w:rsidRDefault="00CB3AF1" w:rsidP="00CB3AF1">
                <w:pPr>
                  <w:pStyle w:val="TableText"/>
                  <w:numPr>
                    <w:ilvl w:val="0"/>
                    <w:numId w:val="28"/>
                  </w:numPr>
                  <w:spacing w:before="0" w:after="0"/>
                  <w:ind w:left="42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21E1F"/>
                    <w:szCs w:val="20"/>
                  </w:rPr>
                </w:pPr>
                <w:r w:rsidRPr="00CB3AF1">
                  <w:rPr>
                    <w:color w:val="0054A6" w:themeColor="accent1"/>
                  </w:rPr>
                  <w:t>• Undertakes improvement projects within own team or business area to improve outcomes by utilising innovative thinking</w:t>
                </w:r>
                <w:r>
                  <w:rPr>
                    <w:color w:val="221E1F"/>
                    <w:szCs w:val="20"/>
                  </w:rPr>
                  <w:t xml:space="preserve"> </w:t>
                </w:r>
              </w:p>
            </w:tc>
          </w:tr>
        </w:tbl>
        <w:p w14:paraId="5C04A987" w14:textId="77777777" w:rsidR="00436F87" w:rsidRDefault="00436F87" w:rsidP="00436F87">
          <w:pPr>
            <w:pStyle w:val="Heading2"/>
          </w:pPr>
          <w:r>
            <w:lastRenderedPageBreak/>
            <w:t>Mandatory Candidate Requirements</w:t>
          </w:r>
        </w:p>
        <w:p w14:paraId="39E89801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2B1C30C9" w14:textId="7802BF60" w:rsidR="00436F87" w:rsidRDefault="00D95AFB" w:rsidP="00B946A0">
          <w:pPr>
            <w:pStyle w:val="ListBulletDarkBlue"/>
          </w:pPr>
          <w:r>
            <w:rPr>
              <w:rFonts w:cs="Arial"/>
            </w:rPr>
            <w:t>Tertiary qualifications in Policy or Business or equivalent experience</w:t>
          </w:r>
        </w:p>
        <w:p w14:paraId="7388615D" w14:textId="77777777" w:rsidR="00436F87" w:rsidRPr="00447CEE" w:rsidRDefault="00436F87" w:rsidP="00B946A0">
          <w:pPr>
            <w:pStyle w:val="ListBulletDarkBlue"/>
          </w:pPr>
          <w:r>
            <w:t>Current NSW Drivers Licence</w:t>
          </w:r>
        </w:p>
        <w:p w14:paraId="520C1E87" w14:textId="42DF6F67" w:rsidR="00436F87" w:rsidRDefault="00436F87" w:rsidP="008940F6">
          <w:pPr>
            <w:pStyle w:val="BodyText"/>
            <w:rPr>
              <w:b/>
            </w:rPr>
          </w:pPr>
          <w:r w:rsidRPr="00650CB9">
            <w:rPr>
              <w:b/>
            </w:rPr>
            <w:t>Knowledge:</w:t>
          </w:r>
        </w:p>
        <w:p w14:paraId="017766F3" w14:textId="77777777" w:rsidR="00CC4925" w:rsidRDefault="00CC4925" w:rsidP="00CC4925">
          <w:pPr>
            <w:pStyle w:val="ListBulletDarkBlue"/>
          </w:pPr>
          <w:r w:rsidRPr="008D3E00">
            <w:t>Demonstrated ability to analyse issues, formulate coordinated responses and prepare clear, concise and accurate correspondence and briefing material.</w:t>
          </w:r>
        </w:p>
        <w:p w14:paraId="73B78A45" w14:textId="538702EE" w:rsidR="00B2114C" w:rsidRPr="00D63976" w:rsidRDefault="006A5C5E" w:rsidP="00B2114C">
          <w:pPr>
            <w:pStyle w:val="ListBulletDarkBlue"/>
            <w:rPr>
              <w:b/>
            </w:rPr>
          </w:pPr>
          <w:r>
            <w:t>Understanding</w:t>
          </w:r>
          <w:r w:rsidR="00B2114C">
            <w:t xml:space="preserve"> of </w:t>
          </w:r>
          <w:r w:rsidR="00B2114C" w:rsidRPr="00610918">
            <w:t>Government and Cabinet processes</w:t>
          </w:r>
        </w:p>
        <w:p w14:paraId="63405DC5" w14:textId="77777777" w:rsidR="00B2114C" w:rsidRPr="00E76CC1" w:rsidRDefault="00B2114C" w:rsidP="00B2114C">
          <w:pPr>
            <w:pStyle w:val="ListBulletDarkBlue"/>
            <w:rPr>
              <w:lang w:eastAsia="en-AU"/>
            </w:rPr>
          </w:pPr>
          <w:r w:rsidRPr="00E76CC1">
            <w:rPr>
              <w:lang w:eastAsia="en-AU"/>
            </w:rPr>
            <w:t>Ethical and compliant approach to advocacy and lobbying activities.</w:t>
          </w:r>
        </w:p>
        <w:p w14:paraId="375A2D34" w14:textId="47DEB868" w:rsidR="00B2114C" w:rsidRPr="00E76CC1" w:rsidRDefault="006A5C5E" w:rsidP="00B2114C">
          <w:pPr>
            <w:pStyle w:val="ListBulletDarkBlue"/>
            <w:rPr>
              <w:lang w:eastAsia="en-AU"/>
            </w:rPr>
          </w:pPr>
          <w:r>
            <w:rPr>
              <w:lang w:eastAsia="en-AU"/>
            </w:rPr>
            <w:t>Strong</w:t>
          </w:r>
          <w:r w:rsidR="00B2114C" w:rsidRPr="00E76CC1">
            <w:rPr>
              <w:lang w:eastAsia="en-AU"/>
            </w:rPr>
            <w:t xml:space="preserve"> communication skills, including written and verbal advocacy.</w:t>
          </w:r>
        </w:p>
        <w:p w14:paraId="1D4D935D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59442776" w14:textId="77777777" w:rsidR="00D95AFB" w:rsidRDefault="00D95AFB" w:rsidP="00D95AFB">
          <w:pPr>
            <w:pStyle w:val="ListBulletDarkBlue"/>
          </w:pPr>
          <w:r w:rsidRPr="008D3E00">
            <w:t xml:space="preserve">Extensive experience in providing advice and in managing correspondence and briefings for Government. </w:t>
          </w:r>
        </w:p>
        <w:p w14:paraId="086329FC" w14:textId="77777777" w:rsidR="00D2412C" w:rsidRDefault="00D95AFB" w:rsidP="00D95AFB">
          <w:pPr>
            <w:pStyle w:val="ListBulletDarkBlue"/>
          </w:pPr>
          <w:r w:rsidRPr="008D3E00">
            <w:t xml:space="preserve">Extensive experience in providing timely written advice of a high quality. </w:t>
          </w:r>
        </w:p>
        <w:p w14:paraId="7BFB8A6A" w14:textId="77777777" w:rsidR="00E84038" w:rsidRDefault="00E84038" w:rsidP="00E84038">
          <w:pPr>
            <w:pStyle w:val="ListBulletDarkBlue"/>
            <w:ind w:left="709"/>
          </w:pPr>
          <w:r w:rsidRPr="008D3E00">
            <w:t xml:space="preserve">Experience in dealing with the machinery of government and parliamentary processes. </w:t>
          </w:r>
        </w:p>
        <w:p w14:paraId="0CCAA507" w14:textId="77777777" w:rsidR="008940F6" w:rsidRDefault="008940F6" w:rsidP="00E853C1">
          <w:pPr>
            <w:pStyle w:val="Heading2"/>
          </w:pPr>
          <w:r>
            <w:t>Favourable Candidate Requirements</w:t>
          </w:r>
        </w:p>
        <w:p w14:paraId="2DFCE43D" w14:textId="77777777" w:rsidR="00D95AFB" w:rsidRDefault="00D95AFB" w:rsidP="00CB3AF1">
          <w:pPr>
            <w:pStyle w:val="ListBulletDarkBlue"/>
            <w:ind w:left="709"/>
          </w:pPr>
          <w:r w:rsidRPr="009B1313">
            <w:t xml:space="preserve">Knowledge and experience of the political and regulatory context, </w:t>
          </w:r>
          <w:r>
            <w:t>WaterNSW’s</w:t>
          </w:r>
          <w:r w:rsidRPr="009B1313">
            <w:t xml:space="preserve"> institutional arrangements and operating environment.</w:t>
          </w:r>
        </w:p>
        <w:p w14:paraId="24FD1E84" w14:textId="77777777" w:rsidR="00E84038" w:rsidRPr="008940F6" w:rsidRDefault="00E84038" w:rsidP="00E84038">
          <w:pPr>
            <w:pStyle w:val="ListBulletDarkBlue"/>
            <w:ind w:left="714" w:hanging="357"/>
            <w:rPr>
              <w:b/>
            </w:rPr>
          </w:pPr>
          <w:r>
            <w:rPr>
              <w:bCs/>
            </w:rPr>
            <w:t>Water or natural resource management policy</w:t>
          </w:r>
        </w:p>
        <w:p w14:paraId="610A6EB2" w14:textId="77777777" w:rsidR="008940F6" w:rsidRDefault="008940F6" w:rsidP="00E853C1">
          <w:pPr>
            <w:pStyle w:val="Heading2"/>
          </w:pPr>
          <w:r>
            <w:t>Pre-Employment Checks Required</w:t>
          </w:r>
        </w:p>
        <w:p w14:paraId="684588DD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4EA07D32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7DEFCB1D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73502393" w14:textId="25399152" w:rsidR="008940F6" w:rsidRDefault="008940F6" w:rsidP="008940F6">
          <w:pPr>
            <w:pStyle w:val="ListBulletDarkBlue"/>
          </w:pPr>
          <w:r>
            <w:t xml:space="preserve">Pre-employment Medical </w:t>
          </w:r>
        </w:p>
        <w:p w14:paraId="50270FC0" w14:textId="5C5D785E" w:rsidR="00436F87" w:rsidRPr="008D3A99" w:rsidRDefault="008940F6" w:rsidP="00436F87">
          <w:pPr>
            <w:pStyle w:val="ListBulletDarkBlue"/>
          </w:pPr>
          <w:r>
            <w:t xml:space="preserve">Police Check </w:t>
          </w:r>
        </w:p>
        <w:p w14:paraId="05940E19" w14:textId="77777777" w:rsidR="0093761E" w:rsidRDefault="0093761E" w:rsidP="0093761E">
          <w:pPr>
            <w:pStyle w:val="BodyText"/>
          </w:pPr>
        </w:p>
        <w:p w14:paraId="1BED844A" w14:textId="77777777" w:rsidR="00FB25EE" w:rsidRPr="00440DB5" w:rsidRDefault="00116BE5" w:rsidP="00E33C05">
          <w:pPr>
            <w:pStyle w:val="BodyText"/>
          </w:pPr>
        </w:p>
      </w:sdtContent>
    </w:sdt>
    <w:sectPr w:rsidR="00FB25EE" w:rsidRPr="00440DB5" w:rsidSect="00EA1D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D1CB" w14:textId="77777777" w:rsidR="0072119B" w:rsidRDefault="0072119B" w:rsidP="00C20C17">
      <w:r>
        <w:separator/>
      </w:r>
    </w:p>
  </w:endnote>
  <w:endnote w:type="continuationSeparator" w:id="0">
    <w:p w14:paraId="1EB83721" w14:textId="77777777" w:rsidR="0072119B" w:rsidRDefault="0072119B" w:rsidP="00C20C17">
      <w:r>
        <w:continuationSeparator/>
      </w:r>
    </w:p>
  </w:endnote>
  <w:endnote w:type="continuationNotice" w:id="1">
    <w:p w14:paraId="3B90B55F" w14:textId="77777777" w:rsidR="0072119B" w:rsidRDefault="007211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9489" w14:textId="77777777" w:rsidR="004D61C3" w:rsidRDefault="004D6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22A9EE35" w14:textId="77777777" w:rsidTr="0093761E">
      <w:tc>
        <w:tcPr>
          <w:tcW w:w="6521" w:type="dxa"/>
          <w:vAlign w:val="bottom"/>
        </w:tcPr>
        <w:p w14:paraId="7D8EB366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66854B62" w14:textId="77777777" w:rsidR="0093761E" w:rsidRPr="009E1815" w:rsidRDefault="00116BE5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6C24278A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5B5C64A" w14:textId="77777777" w:rsidTr="0093761E">
      <w:tc>
        <w:tcPr>
          <w:tcW w:w="6521" w:type="dxa"/>
          <w:vAlign w:val="bottom"/>
        </w:tcPr>
        <w:p w14:paraId="0925A45C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041F0955" w14:textId="77777777" w:rsidR="0093761E" w:rsidRPr="009E1815" w:rsidRDefault="00116BE5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1984D881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AEF2" w14:textId="77777777" w:rsidR="0072119B" w:rsidRDefault="0072119B" w:rsidP="00C20C17">
      <w:r>
        <w:separator/>
      </w:r>
    </w:p>
  </w:footnote>
  <w:footnote w:type="continuationSeparator" w:id="0">
    <w:p w14:paraId="167B9D3B" w14:textId="77777777" w:rsidR="0072119B" w:rsidRDefault="0072119B" w:rsidP="00C20C17">
      <w:r>
        <w:continuationSeparator/>
      </w:r>
    </w:p>
  </w:footnote>
  <w:footnote w:type="continuationNotice" w:id="1">
    <w:p w14:paraId="3322870D" w14:textId="77777777" w:rsidR="0072119B" w:rsidRDefault="0072119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639" w14:textId="77777777" w:rsidR="004D61C3" w:rsidRDefault="004D6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017C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0831C62" wp14:editId="50E4BF2E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5414" w14:textId="6A3ECBB5" w:rsidR="0093761E" w:rsidRPr="00E65571" w:rsidRDefault="00D95AFB" w:rsidP="00E65571">
    <w:pPr>
      <w:pStyle w:val="Heading1"/>
      <w:rPr>
        <w:b w:val="0"/>
      </w:rPr>
    </w:pPr>
    <w:r>
      <w:rPr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728730E8" wp14:editId="2E70F243">
          <wp:simplePos x="0" y="0"/>
          <wp:positionH relativeFrom="column">
            <wp:posOffset>-2286635</wp:posOffset>
          </wp:positionH>
          <wp:positionV relativeFrom="paragraph">
            <wp:posOffset>1072515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71" w:rsidRPr="00F35047">
      <w:t xml:space="preserve">Position </w:t>
    </w:r>
    <w:r w:rsidR="00E65571">
      <w:t>Description</w:t>
    </w:r>
    <w:r w:rsidR="00E65571">
      <w:br/>
    </w:r>
    <w:r w:rsidR="0093761E">
      <w:rPr>
        <w:noProof/>
      </w:rPr>
      <w:drawing>
        <wp:anchor distT="0" distB="0" distL="114300" distR="114300" simplePos="0" relativeHeight="251658242" behindDoc="0" locked="0" layoutInCell="1" allowOverlap="1" wp14:anchorId="1D48C93F" wp14:editId="0C5D24CC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 xml:space="preserve">Government </w:t>
    </w:r>
    <w:r w:rsidR="00CF79BE">
      <w:rPr>
        <w:b w:val="0"/>
      </w:rPr>
      <w:t>Relations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2C1"/>
    <w:multiLevelType w:val="hybridMultilevel"/>
    <w:tmpl w:val="C5527E5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2D86"/>
    <w:multiLevelType w:val="hybridMultilevel"/>
    <w:tmpl w:val="655AC9F2"/>
    <w:lvl w:ilvl="0" w:tplc="C8DE60A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0FE0468B"/>
    <w:multiLevelType w:val="hybridMultilevel"/>
    <w:tmpl w:val="2BAA5F3A"/>
    <w:lvl w:ilvl="0" w:tplc="CA4C6E08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AD3C6254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2" w:tplc="9A647FAC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3" w:tplc="470AD346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4" w:tplc="C2746946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5" w:tplc="2C2C0EA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6" w:tplc="8E58626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7" w:tplc="6E54F21A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8" w:tplc="54CEF75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</w:abstractNum>
  <w:abstractNum w:abstractNumId="7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262509B"/>
    <w:multiLevelType w:val="multilevel"/>
    <w:tmpl w:val="AF62EB60"/>
    <w:numStyleLink w:val="ListNumber"/>
  </w:abstractNum>
  <w:abstractNum w:abstractNumId="10" w15:restartNumberingAfterBreak="0">
    <w:nsid w:val="240D3E3D"/>
    <w:multiLevelType w:val="multilevel"/>
    <w:tmpl w:val="C988152A"/>
    <w:numStyleLink w:val="ListAppendix"/>
  </w:abstractNum>
  <w:abstractNum w:abstractNumId="1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C5150A3"/>
    <w:multiLevelType w:val="hybridMultilevel"/>
    <w:tmpl w:val="A7C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62394">
      <w:numFmt w:val="bullet"/>
      <w:lvlText w:val="•"/>
      <w:lvlJc w:val="left"/>
      <w:pPr>
        <w:ind w:left="1440" w:hanging="360"/>
      </w:pPr>
      <w:rPr>
        <w:rFonts w:ascii="Avenir LT Std 35 Light" w:eastAsiaTheme="minorHAnsi" w:hAnsi="Avenir LT Std 35 Light" w:cs="Avenir LT Std 35 Light" w:hint="default"/>
        <w:color w:val="0053A6"/>
        <w:sz w:val="1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B9AFC"/>
    <w:multiLevelType w:val="multilevel"/>
    <w:tmpl w:val="F8D0C512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C203A"/>
    <w:multiLevelType w:val="multilevel"/>
    <w:tmpl w:val="EC644C88"/>
    <w:numStyleLink w:val="ListParagraph0"/>
  </w:abstractNum>
  <w:abstractNum w:abstractNumId="17" w15:restartNumberingAfterBreak="0">
    <w:nsid w:val="3BF26A71"/>
    <w:multiLevelType w:val="multilevel"/>
    <w:tmpl w:val="EC644C88"/>
    <w:styleLink w:val="ListParagraph0"/>
    <w:lvl w:ilvl="0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8" w15:restartNumberingAfterBreak="0">
    <w:nsid w:val="3E730817"/>
    <w:multiLevelType w:val="multilevel"/>
    <w:tmpl w:val="7556D7BA"/>
    <w:numStyleLink w:val="ListBullet"/>
  </w:abstractNum>
  <w:abstractNum w:abstractNumId="19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1E37FF"/>
    <w:multiLevelType w:val="multilevel"/>
    <w:tmpl w:val="0ACA3976"/>
    <w:numStyleLink w:val="ListNbrHeading"/>
  </w:abstractNum>
  <w:abstractNum w:abstractNumId="22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97E6D"/>
    <w:multiLevelType w:val="hybridMultilevel"/>
    <w:tmpl w:val="BE0A27DC"/>
    <w:lvl w:ilvl="0" w:tplc="9D986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D81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4C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A9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EE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EE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FCC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43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26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AD2A7B"/>
    <w:multiLevelType w:val="hybridMultilevel"/>
    <w:tmpl w:val="F70AB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6" w15:restartNumberingAfterBreak="0">
    <w:nsid w:val="762E203B"/>
    <w:multiLevelType w:val="multilevel"/>
    <w:tmpl w:val="14C62FCC"/>
    <w:numStyleLink w:val="ListAlpha"/>
  </w:abstractNum>
  <w:abstractNum w:abstractNumId="27" w15:restartNumberingAfterBreak="0">
    <w:nsid w:val="7F5D68BF"/>
    <w:multiLevelType w:val="hybridMultilevel"/>
    <w:tmpl w:val="73E47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842097">
    <w:abstractNumId w:val="14"/>
  </w:num>
  <w:num w:numId="2" w16cid:durableId="1157113194">
    <w:abstractNumId w:val="25"/>
  </w:num>
  <w:num w:numId="3" w16cid:durableId="1747728081">
    <w:abstractNumId w:val="7"/>
  </w:num>
  <w:num w:numId="4" w16cid:durableId="1763187028">
    <w:abstractNumId w:val="17"/>
  </w:num>
  <w:num w:numId="5" w16cid:durableId="39133506">
    <w:abstractNumId w:val="5"/>
  </w:num>
  <w:num w:numId="6" w16cid:durableId="1633899639">
    <w:abstractNumId w:val="11"/>
  </w:num>
  <w:num w:numId="7" w16cid:durableId="1751389585">
    <w:abstractNumId w:val="12"/>
  </w:num>
  <w:num w:numId="8" w16cid:durableId="2138335088">
    <w:abstractNumId w:val="4"/>
  </w:num>
  <w:num w:numId="9" w16cid:durableId="1500390597">
    <w:abstractNumId w:val="20"/>
  </w:num>
  <w:num w:numId="10" w16cid:durableId="144206324">
    <w:abstractNumId w:val="10"/>
  </w:num>
  <w:num w:numId="11" w16cid:durableId="340278603">
    <w:abstractNumId w:val="18"/>
  </w:num>
  <w:num w:numId="12" w16cid:durableId="978077405">
    <w:abstractNumId w:val="9"/>
  </w:num>
  <w:num w:numId="13" w16cid:durableId="51465379">
    <w:abstractNumId w:val="26"/>
  </w:num>
  <w:num w:numId="14" w16cid:durableId="1203133387">
    <w:abstractNumId w:val="16"/>
  </w:num>
  <w:num w:numId="15" w16cid:durableId="2144693231">
    <w:abstractNumId w:val="21"/>
  </w:num>
  <w:num w:numId="16" w16cid:durableId="368183904">
    <w:abstractNumId w:val="8"/>
  </w:num>
  <w:num w:numId="17" w16cid:durableId="1017653634">
    <w:abstractNumId w:val="19"/>
  </w:num>
  <w:num w:numId="18" w16cid:durableId="398096278">
    <w:abstractNumId w:val="22"/>
  </w:num>
  <w:num w:numId="19" w16cid:durableId="820539718">
    <w:abstractNumId w:val="15"/>
  </w:num>
  <w:num w:numId="20" w16cid:durableId="478037801">
    <w:abstractNumId w:val="0"/>
  </w:num>
  <w:num w:numId="21" w16cid:durableId="239292520">
    <w:abstractNumId w:val="2"/>
  </w:num>
  <w:num w:numId="22" w16cid:durableId="817187869">
    <w:abstractNumId w:val="9"/>
  </w:num>
  <w:num w:numId="23" w16cid:durableId="371197530">
    <w:abstractNumId w:val="24"/>
  </w:num>
  <w:num w:numId="24" w16cid:durableId="497304941">
    <w:abstractNumId w:val="22"/>
  </w:num>
  <w:num w:numId="25" w16cid:durableId="1434327806">
    <w:abstractNumId w:val="1"/>
  </w:num>
  <w:num w:numId="26" w16cid:durableId="595477925">
    <w:abstractNumId w:val="13"/>
  </w:num>
  <w:num w:numId="27" w16cid:durableId="1295528984">
    <w:abstractNumId w:val="27"/>
  </w:num>
  <w:num w:numId="28" w16cid:durableId="1110273587">
    <w:abstractNumId w:val="3"/>
  </w:num>
  <w:num w:numId="29" w16cid:durableId="1543009147">
    <w:abstractNumId w:val="22"/>
  </w:num>
  <w:num w:numId="30" w16cid:durableId="1108163822">
    <w:abstractNumId w:val="23"/>
  </w:num>
  <w:num w:numId="31" w16cid:durableId="1068531084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205DA"/>
    <w:rsid w:val="00021611"/>
    <w:rsid w:val="0008398D"/>
    <w:rsid w:val="00086082"/>
    <w:rsid w:val="000A08DF"/>
    <w:rsid w:val="000A5DBF"/>
    <w:rsid w:val="00105503"/>
    <w:rsid w:val="00111EF5"/>
    <w:rsid w:val="00116BE5"/>
    <w:rsid w:val="00120CD8"/>
    <w:rsid w:val="00121286"/>
    <w:rsid w:val="00171E5B"/>
    <w:rsid w:val="00186676"/>
    <w:rsid w:val="00197D1D"/>
    <w:rsid w:val="001B609D"/>
    <w:rsid w:val="001E544B"/>
    <w:rsid w:val="00202F4D"/>
    <w:rsid w:val="002138D2"/>
    <w:rsid w:val="00225FDE"/>
    <w:rsid w:val="00227B8A"/>
    <w:rsid w:val="00227DB4"/>
    <w:rsid w:val="00263429"/>
    <w:rsid w:val="00266DCD"/>
    <w:rsid w:val="00266E49"/>
    <w:rsid w:val="002701C0"/>
    <w:rsid w:val="00295738"/>
    <w:rsid w:val="00295E83"/>
    <w:rsid w:val="002A4088"/>
    <w:rsid w:val="002B18D4"/>
    <w:rsid w:val="002B1B8A"/>
    <w:rsid w:val="002B43AC"/>
    <w:rsid w:val="002C6C8C"/>
    <w:rsid w:val="002C7A87"/>
    <w:rsid w:val="002F612F"/>
    <w:rsid w:val="003433DA"/>
    <w:rsid w:val="0035371D"/>
    <w:rsid w:val="0039397C"/>
    <w:rsid w:val="003939E1"/>
    <w:rsid w:val="00394880"/>
    <w:rsid w:val="003E01D0"/>
    <w:rsid w:val="00415572"/>
    <w:rsid w:val="00436F87"/>
    <w:rsid w:val="00440DB5"/>
    <w:rsid w:val="00443CA9"/>
    <w:rsid w:val="00445521"/>
    <w:rsid w:val="004608A4"/>
    <w:rsid w:val="00463A02"/>
    <w:rsid w:val="004C2CF0"/>
    <w:rsid w:val="004D61C3"/>
    <w:rsid w:val="004E59B7"/>
    <w:rsid w:val="005040E2"/>
    <w:rsid w:val="00511C71"/>
    <w:rsid w:val="0052671E"/>
    <w:rsid w:val="005429D2"/>
    <w:rsid w:val="00543502"/>
    <w:rsid w:val="00547A74"/>
    <w:rsid w:val="00561F8C"/>
    <w:rsid w:val="00563A0B"/>
    <w:rsid w:val="00572810"/>
    <w:rsid w:val="005B54F0"/>
    <w:rsid w:val="005B5656"/>
    <w:rsid w:val="005D0167"/>
    <w:rsid w:val="005E467C"/>
    <w:rsid w:val="005E7363"/>
    <w:rsid w:val="0061493B"/>
    <w:rsid w:val="00621E62"/>
    <w:rsid w:val="00636D2E"/>
    <w:rsid w:val="00644C96"/>
    <w:rsid w:val="00645B9E"/>
    <w:rsid w:val="00650A88"/>
    <w:rsid w:val="00650CB9"/>
    <w:rsid w:val="00670B05"/>
    <w:rsid w:val="00685D22"/>
    <w:rsid w:val="00697541"/>
    <w:rsid w:val="006A5C5E"/>
    <w:rsid w:val="006B1921"/>
    <w:rsid w:val="006C0E44"/>
    <w:rsid w:val="006E26DE"/>
    <w:rsid w:val="006F3631"/>
    <w:rsid w:val="006F66FA"/>
    <w:rsid w:val="006F6B8D"/>
    <w:rsid w:val="007014AA"/>
    <w:rsid w:val="0072119B"/>
    <w:rsid w:val="007356D2"/>
    <w:rsid w:val="00775253"/>
    <w:rsid w:val="0078043E"/>
    <w:rsid w:val="007807D1"/>
    <w:rsid w:val="0079394A"/>
    <w:rsid w:val="007B215D"/>
    <w:rsid w:val="007C38B8"/>
    <w:rsid w:val="007E6281"/>
    <w:rsid w:val="00822CB0"/>
    <w:rsid w:val="00826F1B"/>
    <w:rsid w:val="00834296"/>
    <w:rsid w:val="00860D56"/>
    <w:rsid w:val="00862690"/>
    <w:rsid w:val="00866839"/>
    <w:rsid w:val="00883055"/>
    <w:rsid w:val="00891E09"/>
    <w:rsid w:val="008940F6"/>
    <w:rsid w:val="008A23A9"/>
    <w:rsid w:val="008A4773"/>
    <w:rsid w:val="008A7728"/>
    <w:rsid w:val="008D0C4F"/>
    <w:rsid w:val="009136BA"/>
    <w:rsid w:val="0093429F"/>
    <w:rsid w:val="0093761E"/>
    <w:rsid w:val="00945FCD"/>
    <w:rsid w:val="009B5E34"/>
    <w:rsid w:val="009D0AE0"/>
    <w:rsid w:val="009D6143"/>
    <w:rsid w:val="009E1815"/>
    <w:rsid w:val="009E6379"/>
    <w:rsid w:val="009E7E6D"/>
    <w:rsid w:val="009F3881"/>
    <w:rsid w:val="00A0675C"/>
    <w:rsid w:val="00A34437"/>
    <w:rsid w:val="00A37C12"/>
    <w:rsid w:val="00A5597A"/>
    <w:rsid w:val="00A666F7"/>
    <w:rsid w:val="00AD610E"/>
    <w:rsid w:val="00AE601E"/>
    <w:rsid w:val="00B025B0"/>
    <w:rsid w:val="00B2114C"/>
    <w:rsid w:val="00B27D0C"/>
    <w:rsid w:val="00B57088"/>
    <w:rsid w:val="00B742E4"/>
    <w:rsid w:val="00B80565"/>
    <w:rsid w:val="00B946A0"/>
    <w:rsid w:val="00BB2797"/>
    <w:rsid w:val="00BB6E0C"/>
    <w:rsid w:val="00BC0A35"/>
    <w:rsid w:val="00BC0E71"/>
    <w:rsid w:val="00BC2229"/>
    <w:rsid w:val="00BD4A0A"/>
    <w:rsid w:val="00BE4959"/>
    <w:rsid w:val="00C20C17"/>
    <w:rsid w:val="00C33B32"/>
    <w:rsid w:val="00C530B4"/>
    <w:rsid w:val="00C56B60"/>
    <w:rsid w:val="00C82D6E"/>
    <w:rsid w:val="00C839FC"/>
    <w:rsid w:val="00C930F3"/>
    <w:rsid w:val="00C948F9"/>
    <w:rsid w:val="00CA454F"/>
    <w:rsid w:val="00CB3AF1"/>
    <w:rsid w:val="00CC4925"/>
    <w:rsid w:val="00CC6675"/>
    <w:rsid w:val="00CD67EF"/>
    <w:rsid w:val="00CF3BE8"/>
    <w:rsid w:val="00CF48E8"/>
    <w:rsid w:val="00CF5BFA"/>
    <w:rsid w:val="00CF79BE"/>
    <w:rsid w:val="00D02BD9"/>
    <w:rsid w:val="00D03ED2"/>
    <w:rsid w:val="00D2412C"/>
    <w:rsid w:val="00D3057D"/>
    <w:rsid w:val="00D51EA4"/>
    <w:rsid w:val="00D86F2E"/>
    <w:rsid w:val="00D90B8B"/>
    <w:rsid w:val="00D95AFB"/>
    <w:rsid w:val="00DB4471"/>
    <w:rsid w:val="00DD0AFE"/>
    <w:rsid w:val="00DD6012"/>
    <w:rsid w:val="00E10BB1"/>
    <w:rsid w:val="00E33C05"/>
    <w:rsid w:val="00E606A9"/>
    <w:rsid w:val="00E65571"/>
    <w:rsid w:val="00E661A0"/>
    <w:rsid w:val="00E84038"/>
    <w:rsid w:val="00E853C1"/>
    <w:rsid w:val="00E87A8D"/>
    <w:rsid w:val="00EA1DF1"/>
    <w:rsid w:val="00EA2339"/>
    <w:rsid w:val="00EB27A3"/>
    <w:rsid w:val="00EB7EFA"/>
    <w:rsid w:val="00EC64FF"/>
    <w:rsid w:val="00EC7F3B"/>
    <w:rsid w:val="00ED1A2A"/>
    <w:rsid w:val="00ED4E41"/>
    <w:rsid w:val="00EE6B9C"/>
    <w:rsid w:val="00F36170"/>
    <w:rsid w:val="00F61255"/>
    <w:rsid w:val="00F83C76"/>
    <w:rsid w:val="00F921B0"/>
    <w:rsid w:val="00F9270F"/>
    <w:rsid w:val="00FB25EE"/>
    <w:rsid w:val="00FC0BC3"/>
    <w:rsid w:val="00FD1621"/>
    <w:rsid w:val="02682B39"/>
    <w:rsid w:val="06F82830"/>
    <w:rsid w:val="0A67F359"/>
    <w:rsid w:val="11653159"/>
    <w:rsid w:val="15BDDD4B"/>
    <w:rsid w:val="34D57FD5"/>
    <w:rsid w:val="375E7B66"/>
    <w:rsid w:val="39862D64"/>
    <w:rsid w:val="3FB21F85"/>
    <w:rsid w:val="4098AA56"/>
    <w:rsid w:val="4D38E9EC"/>
    <w:rsid w:val="4FF6D877"/>
    <w:rsid w:val="514AF336"/>
    <w:rsid w:val="580C08CD"/>
    <w:rsid w:val="59D1FD49"/>
    <w:rsid w:val="619ECDD6"/>
    <w:rsid w:val="62FD196F"/>
    <w:rsid w:val="6498E9D0"/>
    <w:rsid w:val="659B89BA"/>
    <w:rsid w:val="65A5BC3B"/>
    <w:rsid w:val="6AC4189A"/>
    <w:rsid w:val="7C40C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F7490"/>
  <w15:chartTrackingRefBased/>
  <w15:docId w15:val="{F4F1A672-6FA0-474F-835A-896A2918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10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B57088"/>
    <w:pPr>
      <w:numPr>
        <w:numId w:val="14"/>
      </w:numPr>
      <w:spacing w:before="60" w:after="60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5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5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5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1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2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3"/>
      </w:numPr>
    </w:pPr>
  </w:style>
  <w:style w:type="numbering" w:customStyle="1" w:styleId="ListParagraph0">
    <w:name w:val="List Paragraph0"/>
    <w:uiPriority w:val="99"/>
    <w:rsid w:val="00B57088"/>
    <w:pPr>
      <w:numPr>
        <w:numId w:val="4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3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5"/>
      </w:numPr>
    </w:pPr>
  </w:style>
  <w:style w:type="numbering" w:customStyle="1" w:styleId="ListNbrHeading">
    <w:name w:val="List_NbrHeading"/>
    <w:uiPriority w:val="99"/>
    <w:rsid w:val="00883055"/>
    <w:pPr>
      <w:numPr>
        <w:numId w:val="16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6"/>
      </w:numPr>
    </w:pPr>
  </w:style>
  <w:style w:type="numbering" w:customStyle="1" w:styleId="ListTableNumber">
    <w:name w:val="List_TableNumber"/>
    <w:uiPriority w:val="99"/>
    <w:rsid w:val="00B025B0"/>
    <w:pPr>
      <w:numPr>
        <w:numId w:val="7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8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9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7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8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5DBF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A6">
    <w:name w:val="A6"/>
    <w:uiPriority w:val="99"/>
    <w:rsid w:val="000A5DBF"/>
    <w:rPr>
      <w:rFonts w:cs="Avenir LT Std 35 Light"/>
      <w:color w:val="0053A6"/>
      <w:sz w:val="14"/>
      <w:szCs w:val="1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11C71"/>
    <w:pPr>
      <w:spacing w:after="0"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0B6126"/>
    <w:rsid w:val="001B76CA"/>
    <w:rsid w:val="002834CF"/>
    <w:rsid w:val="00384745"/>
    <w:rsid w:val="004F6C6C"/>
    <w:rsid w:val="00602C3C"/>
    <w:rsid w:val="00644C96"/>
    <w:rsid w:val="00816297"/>
    <w:rsid w:val="00851586"/>
    <w:rsid w:val="00895678"/>
    <w:rsid w:val="008A1D91"/>
    <w:rsid w:val="008B391C"/>
    <w:rsid w:val="009005AC"/>
    <w:rsid w:val="009D00F9"/>
    <w:rsid w:val="00A20911"/>
    <w:rsid w:val="00A36A34"/>
    <w:rsid w:val="00AC135B"/>
    <w:rsid w:val="00B97902"/>
    <w:rsid w:val="00C0406B"/>
    <w:rsid w:val="00C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a4b49d-eee9-41d5-8386-0ee3641c0170" xsi:nil="true"/>
    <lcf76f155ced4ddcb4097134ff3c332f xmlns="1b92828c-1eda-4918-897f-17bd5861655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3A330E4ECB24A870CC26EF2F4C6C7" ma:contentTypeVersion="16" ma:contentTypeDescription="Create a new document." ma:contentTypeScope="" ma:versionID="74ca8858cd81fc861099cbcab868ba11">
  <xsd:schema xmlns:xsd="http://www.w3.org/2001/XMLSchema" xmlns:xs="http://www.w3.org/2001/XMLSchema" xmlns:p="http://schemas.microsoft.com/office/2006/metadata/properties" xmlns:ns2="1b92828c-1eda-4918-897f-17bd58616556" xmlns:ns3="e9a4b49d-eee9-41d5-8386-0ee3641c0170" targetNamespace="http://schemas.microsoft.com/office/2006/metadata/properties" ma:root="true" ma:fieldsID="0088526387c654d681aaeb79398000f1" ns2:_="" ns3:_="">
    <xsd:import namespace="1b92828c-1eda-4918-897f-17bd58616556"/>
    <xsd:import namespace="e9a4b49d-eee9-41d5-8386-0ee3641c0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2828c-1eda-4918-897f-17bd58616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add8f3-fa88-4b92-b89f-09d2ce5de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4b49d-eee9-41d5-8386-0ee3641c0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541c16-0576-4f88-963e-bb661dfeb308}" ma:internalName="TaxCatchAll" ma:showField="CatchAllData" ma:web="e9a4b49d-eee9-41d5-8386-0ee3641c0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FFB66-E26F-4739-A136-7A7EF1AB3289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e9a4b49d-eee9-41d5-8386-0ee3641c0170"/>
    <ds:schemaRef ds:uri="1b92828c-1eda-4918-897f-17bd58616556"/>
  </ds:schemaRefs>
</ds:datastoreItem>
</file>

<file path=customXml/itemProps2.xml><?xml version="1.0" encoding="utf-8"?>
<ds:datastoreItem xmlns:ds="http://schemas.openxmlformats.org/officeDocument/2006/customXml" ds:itemID="{27B0B90D-3F38-481F-B5BC-BA996FF06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2828c-1eda-4918-897f-17bd58616556"/>
    <ds:schemaRef ds:uri="e9a4b49d-eee9-41d5-8386-0ee3641c0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89267-B537-4C59-9C2D-68C352CC62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2DB9D5-0B2D-4B60-8D92-53F6C7E06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6</TotalTime>
  <Pages>4</Pages>
  <Words>922</Words>
  <Characters>5011</Characters>
  <Application>Microsoft Office Word</Application>
  <DocSecurity>0</DocSecurity>
  <Lines>200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Links>
    <vt:vector size="12" baseType="variant">
      <vt:variant>
        <vt:i4>3342370</vt:i4>
      </vt:variant>
      <vt:variant>
        <vt:i4>3</vt:i4>
      </vt:variant>
      <vt:variant>
        <vt:i4>0</vt:i4>
      </vt:variant>
      <vt:variant>
        <vt:i4>5</vt:i4>
      </vt:variant>
      <vt:variant>
        <vt:lpwstr>http://www.waternsw.com.au/</vt:lpwstr>
      </vt:variant>
      <vt:variant>
        <vt:lpwstr/>
      </vt:variant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http://www.waternsw.com.au/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Paola Pereanez</cp:lastModifiedBy>
  <cp:revision>5</cp:revision>
  <cp:lastPrinted>2018-08-22T18:37:00Z</cp:lastPrinted>
  <dcterms:created xsi:type="dcterms:W3CDTF">2023-10-03T05:07:00Z</dcterms:created>
  <dcterms:modified xsi:type="dcterms:W3CDTF">2023-10-09T04:45:00Z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2b36d-f601-4e6b-943f-5f6005588b93_Enabled">
    <vt:lpwstr>true</vt:lpwstr>
  </property>
  <property fmtid="{D5CDD505-2E9C-101B-9397-08002B2CF9AE}" pid="3" name="MSIP_Label_3452b36d-f601-4e6b-943f-5f6005588b93_SetDate">
    <vt:lpwstr>2023-07-10T02:22:26Z</vt:lpwstr>
  </property>
  <property fmtid="{D5CDD505-2E9C-101B-9397-08002B2CF9AE}" pid="4" name="MSIP_Label_3452b36d-f601-4e6b-943f-5f6005588b93_Method">
    <vt:lpwstr>Standard</vt:lpwstr>
  </property>
  <property fmtid="{D5CDD505-2E9C-101B-9397-08002B2CF9AE}" pid="5" name="MSIP_Label_3452b36d-f601-4e6b-943f-5f6005588b93_Name">
    <vt:lpwstr>Class 2 - Internal Use Only (Private)</vt:lpwstr>
  </property>
  <property fmtid="{D5CDD505-2E9C-101B-9397-08002B2CF9AE}" pid="6" name="MSIP_Label_3452b36d-f601-4e6b-943f-5f6005588b93_SiteId">
    <vt:lpwstr>f9b6d7c0-2c21-4f56-b69d-347b8d3e3da9</vt:lpwstr>
  </property>
  <property fmtid="{D5CDD505-2E9C-101B-9397-08002B2CF9AE}" pid="7" name="MSIP_Label_3452b36d-f601-4e6b-943f-5f6005588b93_ActionId">
    <vt:lpwstr>69e2cb55-fa4f-42d0-af41-9f70c9cd9983</vt:lpwstr>
  </property>
  <property fmtid="{D5CDD505-2E9C-101B-9397-08002B2CF9AE}" pid="8" name="MSIP_Label_3452b36d-f601-4e6b-943f-5f6005588b93_ContentBits">
    <vt:lpwstr>0</vt:lpwstr>
  </property>
  <property fmtid="{D5CDD505-2E9C-101B-9397-08002B2CF9AE}" pid="9" name="ContentTypeId">
    <vt:lpwstr>0x0101009E63A330E4ECB24A870CC26EF2F4C6C7</vt:lpwstr>
  </property>
  <property fmtid="{D5CDD505-2E9C-101B-9397-08002B2CF9AE}" pid="10" name="MediaServiceImageTags">
    <vt:lpwstr/>
  </property>
</Properties>
</file>