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F530" w14:textId="1ABAE2DC" w:rsidR="00DF7E58" w:rsidRPr="001C500D" w:rsidRDefault="00017FB9" w:rsidP="00A22236">
      <w:pPr>
        <w:spacing w:after="120" w:line="360" w:lineRule="auto"/>
        <w:rPr>
          <w:rFonts w:ascii="Century Gothic" w:hAnsi="Century Gothic" w:cstheme="minorHAnsi"/>
          <w:b/>
          <w:bCs/>
          <w:color w:val="2178B0"/>
          <w:sz w:val="36"/>
          <w:szCs w:val="36"/>
        </w:rPr>
      </w:pPr>
      <w:r w:rsidRPr="001C500D">
        <w:rPr>
          <w:rFonts w:ascii="Century Gothic" w:hAnsi="Century Gothic" w:cstheme="minorHAnsi"/>
          <w:b/>
          <w:bCs/>
          <w:color w:val="2178B0"/>
          <w:sz w:val="36"/>
          <w:szCs w:val="36"/>
        </w:rPr>
        <w:t>Position Description</w:t>
      </w:r>
    </w:p>
    <w:p w14:paraId="3DA19668" w14:textId="41405DAD" w:rsidR="00017FB9" w:rsidRDefault="003C3EB3" w:rsidP="00A22236">
      <w:pPr>
        <w:spacing w:after="120" w:line="360" w:lineRule="auto"/>
        <w:rPr>
          <w:rFonts w:ascii="Century Gothic" w:hAnsi="Century Gothic" w:cstheme="minorHAnsi"/>
          <w:color w:val="2178B0"/>
          <w:sz w:val="36"/>
          <w:szCs w:val="36"/>
        </w:rPr>
      </w:pPr>
      <w:r>
        <w:rPr>
          <w:rFonts w:ascii="Century Gothic" w:hAnsi="Century Gothic" w:cstheme="minorHAnsi"/>
          <w:color w:val="2178B0"/>
          <w:sz w:val="36"/>
          <w:szCs w:val="36"/>
        </w:rPr>
        <w:t xml:space="preserve">Catchment </w:t>
      </w:r>
      <w:r w:rsidR="00D34A8D">
        <w:rPr>
          <w:rFonts w:ascii="Century Gothic" w:hAnsi="Century Gothic" w:cstheme="minorHAnsi"/>
          <w:color w:val="2178B0"/>
          <w:sz w:val="36"/>
          <w:szCs w:val="36"/>
        </w:rPr>
        <w:t>Assessment</w:t>
      </w:r>
      <w:r>
        <w:rPr>
          <w:rFonts w:ascii="Century Gothic" w:hAnsi="Century Gothic" w:cstheme="minorHAnsi"/>
          <w:color w:val="2178B0"/>
          <w:sz w:val="36"/>
          <w:szCs w:val="36"/>
        </w:rPr>
        <w:t xml:space="preserve"> </w:t>
      </w:r>
      <w:r w:rsidR="000D71EA">
        <w:rPr>
          <w:rFonts w:ascii="Century Gothic" w:hAnsi="Century Gothic" w:cstheme="minorHAnsi"/>
          <w:color w:val="2178B0"/>
          <w:sz w:val="36"/>
          <w:szCs w:val="36"/>
        </w:rPr>
        <w:t xml:space="preserve">Specialist </w:t>
      </w:r>
    </w:p>
    <w:p w14:paraId="3E7BA941" w14:textId="77777777" w:rsidR="00017FB9" w:rsidRPr="00F73267" w:rsidRDefault="00017FB9" w:rsidP="00A22236">
      <w:pPr>
        <w:spacing w:after="120" w:line="360" w:lineRule="auto"/>
        <w:rPr>
          <w:rFonts w:ascii="Century Gothic" w:hAnsi="Century Gothic"/>
        </w:rPr>
      </w:pPr>
    </w:p>
    <w:p w14:paraId="791F4C3E" w14:textId="77777777" w:rsidR="000427F2" w:rsidRDefault="000427F2" w:rsidP="00A22236">
      <w:pPr>
        <w:spacing w:before="120" w:after="120" w:line="360" w:lineRule="auto"/>
        <w:ind w:right="390"/>
        <w:rPr>
          <w:rFonts w:ascii="Century Gothic" w:hAnsi="Century Gothic"/>
          <w:b/>
          <w:bCs/>
          <w:sz w:val="24"/>
          <w:szCs w:val="24"/>
        </w:rPr>
      </w:pPr>
    </w:p>
    <w:p w14:paraId="7DB6835D" w14:textId="77777777" w:rsidR="000427F2" w:rsidRDefault="000427F2" w:rsidP="00A22236">
      <w:pPr>
        <w:spacing w:before="120" w:after="120" w:line="360" w:lineRule="auto"/>
        <w:ind w:right="390"/>
        <w:rPr>
          <w:rFonts w:ascii="Century Gothic" w:hAnsi="Century Gothic"/>
          <w:b/>
          <w:bCs/>
          <w:sz w:val="24"/>
          <w:szCs w:val="24"/>
        </w:rPr>
      </w:pPr>
    </w:p>
    <w:p w14:paraId="32FA1F89" w14:textId="5DDA86C3" w:rsidR="00017FB9" w:rsidRPr="00F73267" w:rsidRDefault="00205C81" w:rsidP="00A22236">
      <w:pPr>
        <w:spacing w:before="120" w:after="120" w:line="360" w:lineRule="auto"/>
        <w:ind w:right="39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Portfolio: </w:t>
      </w:r>
      <w:r w:rsidR="00017FB9" w:rsidRPr="00F73267">
        <w:rPr>
          <w:rFonts w:ascii="Century Gothic" w:hAnsi="Century Gothic"/>
          <w:b/>
          <w:bCs/>
          <w:sz w:val="24"/>
          <w:szCs w:val="24"/>
        </w:rPr>
        <w:t>Strategy &amp; Performance</w:t>
      </w:r>
    </w:p>
    <w:p w14:paraId="29ACC45C" w14:textId="3A0E624A" w:rsidR="00017FB9" w:rsidRPr="00F73267" w:rsidRDefault="00017FB9" w:rsidP="00A22236">
      <w:pPr>
        <w:spacing w:before="120" w:after="120" w:line="360" w:lineRule="auto"/>
        <w:ind w:right="390"/>
        <w:rPr>
          <w:rFonts w:ascii="Century Gothic" w:hAnsi="Century Gothic"/>
          <w:b/>
          <w:bCs/>
          <w:sz w:val="24"/>
          <w:szCs w:val="24"/>
        </w:rPr>
      </w:pPr>
      <w:r w:rsidRPr="00F73267">
        <w:rPr>
          <w:rFonts w:ascii="Century Gothic" w:hAnsi="Century Gothic"/>
          <w:b/>
          <w:bCs/>
          <w:sz w:val="24"/>
          <w:szCs w:val="24"/>
        </w:rPr>
        <w:t>Reporting to</w:t>
      </w:r>
      <w:r w:rsidR="002D5C61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D34A8D">
        <w:rPr>
          <w:rFonts w:ascii="Century Gothic" w:hAnsi="Century Gothic"/>
          <w:b/>
          <w:bCs/>
          <w:sz w:val="24"/>
          <w:szCs w:val="24"/>
        </w:rPr>
        <w:t>Catchment Protection Manager</w:t>
      </w:r>
    </w:p>
    <w:p w14:paraId="23071AA6" w14:textId="09E68C0D" w:rsidR="00017FB9" w:rsidRPr="00581D9F" w:rsidRDefault="00017FB9" w:rsidP="00420792">
      <w:pPr>
        <w:pStyle w:val="Heading2"/>
      </w:pPr>
      <w:r w:rsidRPr="00581D9F">
        <w:t>Position Purpose</w:t>
      </w:r>
    </w:p>
    <w:p w14:paraId="4D494C0E" w14:textId="06414805" w:rsidR="00603959" w:rsidRDefault="00DF13A2" w:rsidP="00603959">
      <w:pPr>
        <w:spacing w:before="60" w:after="60" w:line="360" w:lineRule="auto"/>
        <w:ind w:right="390"/>
        <w:jc w:val="both"/>
        <w:rPr>
          <w:rFonts w:ascii="Century Gothic" w:hAnsi="Century Gothic"/>
          <w:sz w:val="20"/>
          <w:szCs w:val="20"/>
        </w:rPr>
      </w:pPr>
      <w:r w:rsidRPr="00581D9F">
        <w:rPr>
          <w:rFonts w:ascii="Century Gothic" w:hAnsi="Century Gothic"/>
          <w:sz w:val="20"/>
          <w:szCs w:val="20"/>
        </w:rPr>
        <w:t xml:space="preserve">Provide </w:t>
      </w:r>
      <w:r w:rsidR="00780741" w:rsidRPr="00581D9F">
        <w:rPr>
          <w:rFonts w:ascii="Century Gothic" w:hAnsi="Century Gothic"/>
          <w:sz w:val="20"/>
          <w:szCs w:val="20"/>
        </w:rPr>
        <w:t xml:space="preserve">expert advice </w:t>
      </w:r>
      <w:r w:rsidR="00DC4126" w:rsidRPr="00581D9F">
        <w:rPr>
          <w:rFonts w:ascii="Century Gothic" w:hAnsi="Century Gothic"/>
          <w:sz w:val="20"/>
          <w:szCs w:val="20"/>
        </w:rPr>
        <w:t xml:space="preserve">and </w:t>
      </w:r>
      <w:r w:rsidR="00B3789C" w:rsidRPr="00E127ED">
        <w:rPr>
          <w:rFonts w:ascii="Century Gothic" w:hAnsi="Century Gothic"/>
          <w:sz w:val="20"/>
          <w:szCs w:val="20"/>
        </w:rPr>
        <w:t>overview</w:t>
      </w:r>
      <w:r w:rsidR="00DC4126" w:rsidRPr="00581D9F">
        <w:rPr>
          <w:rFonts w:ascii="Century Gothic" w:hAnsi="Century Gothic"/>
          <w:sz w:val="20"/>
          <w:szCs w:val="20"/>
        </w:rPr>
        <w:t xml:space="preserve"> </w:t>
      </w:r>
      <w:r w:rsidR="00EC765D" w:rsidRPr="00E127ED">
        <w:rPr>
          <w:rFonts w:ascii="Century Gothic" w:hAnsi="Century Gothic"/>
          <w:sz w:val="20"/>
          <w:szCs w:val="20"/>
        </w:rPr>
        <w:t>of</w:t>
      </w:r>
      <w:r w:rsidR="00975A44" w:rsidRPr="00581D9F">
        <w:rPr>
          <w:rFonts w:ascii="Century Gothic" w:hAnsi="Century Gothic"/>
          <w:sz w:val="20"/>
          <w:szCs w:val="20"/>
        </w:rPr>
        <w:t xml:space="preserve"> technical</w:t>
      </w:r>
      <w:r w:rsidR="0067791C" w:rsidRPr="00E127ED">
        <w:rPr>
          <w:rFonts w:ascii="Century Gothic" w:hAnsi="Century Gothic"/>
          <w:sz w:val="20"/>
          <w:szCs w:val="20"/>
        </w:rPr>
        <w:t xml:space="preserve"> </w:t>
      </w:r>
      <w:r w:rsidR="00975A44" w:rsidRPr="00581D9F">
        <w:rPr>
          <w:rFonts w:ascii="Century Gothic" w:hAnsi="Century Gothic"/>
          <w:sz w:val="20"/>
          <w:szCs w:val="20"/>
        </w:rPr>
        <w:t>assessments</w:t>
      </w:r>
      <w:r w:rsidR="0067791C" w:rsidRPr="00E127ED">
        <w:rPr>
          <w:rFonts w:ascii="Century Gothic" w:hAnsi="Century Gothic"/>
          <w:sz w:val="20"/>
          <w:szCs w:val="20"/>
        </w:rPr>
        <w:t xml:space="preserve"> and </w:t>
      </w:r>
      <w:r w:rsidR="00532739" w:rsidRPr="00532739">
        <w:rPr>
          <w:rFonts w:ascii="Century Gothic" w:hAnsi="Century Gothic"/>
          <w:sz w:val="20"/>
          <w:szCs w:val="20"/>
        </w:rPr>
        <w:t>recommendations</w:t>
      </w:r>
      <w:r w:rsidR="00532739" w:rsidRPr="00581D9F">
        <w:rPr>
          <w:rFonts w:ascii="Century Gothic" w:hAnsi="Century Gothic"/>
          <w:sz w:val="20"/>
          <w:szCs w:val="20"/>
        </w:rPr>
        <w:t xml:space="preserve"> provided</w:t>
      </w:r>
      <w:r w:rsidR="00D45101" w:rsidRPr="00581D9F">
        <w:rPr>
          <w:rFonts w:ascii="Century Gothic" w:hAnsi="Century Gothic"/>
          <w:sz w:val="20"/>
          <w:szCs w:val="20"/>
        </w:rPr>
        <w:t xml:space="preserve"> by the Catchment Assessment team </w:t>
      </w:r>
      <w:r w:rsidR="00004B85" w:rsidRPr="00581D9F">
        <w:rPr>
          <w:rFonts w:ascii="Century Gothic" w:hAnsi="Century Gothic"/>
          <w:sz w:val="20"/>
          <w:szCs w:val="20"/>
        </w:rPr>
        <w:t>in relation to the regulatory framework of the Sydney drinking</w:t>
      </w:r>
      <w:r w:rsidR="00004B85" w:rsidRPr="00004B85">
        <w:rPr>
          <w:rFonts w:ascii="Century Gothic" w:hAnsi="Century Gothic"/>
          <w:sz w:val="20"/>
          <w:szCs w:val="20"/>
        </w:rPr>
        <w:t xml:space="preserve"> water catchment. Provide expert advice on State significant developments, infrastructure, </w:t>
      </w:r>
      <w:proofErr w:type="gramStart"/>
      <w:r w:rsidR="00004B85" w:rsidRPr="00004B85">
        <w:rPr>
          <w:rFonts w:ascii="Century Gothic" w:hAnsi="Century Gothic"/>
          <w:sz w:val="20"/>
          <w:szCs w:val="20"/>
        </w:rPr>
        <w:t>stormwater</w:t>
      </w:r>
      <w:proofErr w:type="gramEnd"/>
      <w:r w:rsidR="00004B85" w:rsidRPr="00004B85">
        <w:rPr>
          <w:rFonts w:ascii="Century Gothic" w:hAnsi="Century Gothic"/>
          <w:sz w:val="20"/>
          <w:szCs w:val="20"/>
        </w:rPr>
        <w:t xml:space="preserve"> and wastewater management, and put safety first.</w:t>
      </w:r>
    </w:p>
    <w:p w14:paraId="12D46F98" w14:textId="08236D30" w:rsidR="00017FB9" w:rsidRPr="00801270" w:rsidRDefault="00017FB9" w:rsidP="00420792">
      <w:pPr>
        <w:pStyle w:val="Heading2"/>
      </w:pPr>
      <w:r w:rsidRPr="00801270">
        <w:t>Key Accountabilities</w:t>
      </w:r>
      <w:r w:rsidR="00EA404D">
        <w:t xml:space="preserve"> </w:t>
      </w:r>
    </w:p>
    <w:p w14:paraId="269E7CE5" w14:textId="2AA388B9" w:rsidR="00204975" w:rsidRDefault="00204975" w:rsidP="00DF63FB">
      <w:pPr>
        <w:pStyle w:val="ListParagraph"/>
        <w:numPr>
          <w:ilvl w:val="0"/>
          <w:numId w:val="1"/>
        </w:numPr>
        <w:spacing w:before="60" w:after="60" w:line="360" w:lineRule="auto"/>
        <w:ind w:left="357" w:right="391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065A11">
        <w:rPr>
          <w:rFonts w:ascii="Century Gothic" w:hAnsi="Century Gothic"/>
          <w:b/>
          <w:bCs/>
          <w:sz w:val="20"/>
          <w:szCs w:val="20"/>
        </w:rPr>
        <w:t>Safety:</w:t>
      </w:r>
      <w:r w:rsidRPr="00065A11">
        <w:rPr>
          <w:rFonts w:ascii="Century Gothic" w:hAnsi="Century Gothic"/>
          <w:sz w:val="20"/>
          <w:szCs w:val="20"/>
        </w:rPr>
        <w:t xml:space="preserve"> ensure all activities are undertaken with the safety of </w:t>
      </w:r>
      <w:r w:rsidR="00982834">
        <w:rPr>
          <w:rFonts w:ascii="Century Gothic" w:hAnsi="Century Gothic"/>
          <w:sz w:val="20"/>
          <w:szCs w:val="20"/>
        </w:rPr>
        <w:t>everyone</w:t>
      </w:r>
      <w:r w:rsidRPr="00065A11">
        <w:rPr>
          <w:rFonts w:ascii="Century Gothic" w:hAnsi="Century Gothic"/>
          <w:sz w:val="20"/>
          <w:szCs w:val="20"/>
        </w:rPr>
        <w:t xml:space="preserve"> as the number one priority and always role model safe behaviour.</w:t>
      </w:r>
    </w:p>
    <w:p w14:paraId="37A725F3" w14:textId="77777777" w:rsidR="00960540" w:rsidRPr="00960540" w:rsidRDefault="00960540" w:rsidP="00960540">
      <w:pPr>
        <w:pStyle w:val="ListParagraph"/>
        <w:numPr>
          <w:ilvl w:val="0"/>
          <w:numId w:val="1"/>
        </w:numPr>
        <w:spacing w:before="60" w:after="60" w:line="360" w:lineRule="auto"/>
        <w:ind w:right="391"/>
        <w:jc w:val="both"/>
        <w:rPr>
          <w:rFonts w:ascii="Century Gothic" w:hAnsi="Century Gothic"/>
          <w:sz w:val="20"/>
          <w:szCs w:val="20"/>
        </w:rPr>
      </w:pPr>
      <w:r w:rsidRPr="00960540">
        <w:rPr>
          <w:rFonts w:ascii="Century Gothic" w:hAnsi="Century Gothic"/>
          <w:b/>
          <w:bCs/>
          <w:sz w:val="20"/>
          <w:szCs w:val="20"/>
        </w:rPr>
        <w:t>Values</w:t>
      </w:r>
      <w:r w:rsidRPr="00960540">
        <w:rPr>
          <w:rFonts w:ascii="Century Gothic" w:hAnsi="Century Gothic"/>
          <w:sz w:val="20"/>
          <w:szCs w:val="20"/>
        </w:rPr>
        <w:t xml:space="preserve">: behave and make decisions in accordance with the WaterNSW Values at all times. </w:t>
      </w:r>
    </w:p>
    <w:p w14:paraId="7DC4A6C7" w14:textId="77777777" w:rsidR="00960540" w:rsidRPr="004B42C5" w:rsidRDefault="00960540" w:rsidP="00960540">
      <w:pPr>
        <w:pStyle w:val="ListParagraph"/>
        <w:numPr>
          <w:ilvl w:val="0"/>
          <w:numId w:val="1"/>
        </w:numPr>
        <w:spacing w:before="60" w:after="60" w:line="360" w:lineRule="auto"/>
        <w:ind w:right="391"/>
        <w:jc w:val="both"/>
        <w:rPr>
          <w:rFonts w:ascii="Century Gothic" w:hAnsi="Century Gothic"/>
          <w:sz w:val="20"/>
          <w:szCs w:val="20"/>
        </w:rPr>
      </w:pPr>
      <w:r w:rsidRPr="004B42C5">
        <w:rPr>
          <w:rFonts w:ascii="Century Gothic" w:hAnsi="Century Gothic"/>
          <w:sz w:val="20"/>
          <w:szCs w:val="20"/>
        </w:rPr>
        <w:t>Ensure the assessment of development applications requiring the concurrence of the regulatory authority are technically robust and timely.</w:t>
      </w:r>
    </w:p>
    <w:p w14:paraId="508E1DC7" w14:textId="77777777" w:rsidR="0012422C" w:rsidRPr="00E127ED" w:rsidRDefault="0012422C" w:rsidP="00960540">
      <w:pPr>
        <w:pStyle w:val="ListParagraph"/>
        <w:numPr>
          <w:ilvl w:val="0"/>
          <w:numId w:val="1"/>
        </w:numPr>
        <w:spacing w:before="60" w:after="60" w:line="360" w:lineRule="auto"/>
        <w:ind w:right="391"/>
        <w:jc w:val="both"/>
        <w:rPr>
          <w:rFonts w:ascii="Century Gothic" w:hAnsi="Century Gothic"/>
          <w:sz w:val="20"/>
          <w:szCs w:val="20"/>
        </w:rPr>
      </w:pPr>
      <w:r w:rsidRPr="004B42C5">
        <w:rPr>
          <w:rFonts w:ascii="Century Gothic" w:hAnsi="Century Gothic"/>
          <w:sz w:val="20"/>
          <w:szCs w:val="20"/>
        </w:rPr>
        <w:t xml:space="preserve">Provide expert advice on proposals external to WaterNSW including State significant developments and infrastructure proposed within the declared catchment area. Influence decisions made by planning and consent authorities under the </w:t>
      </w:r>
      <w:r w:rsidRPr="004B42C5">
        <w:rPr>
          <w:rFonts w:ascii="Century Gothic" w:hAnsi="Century Gothic"/>
          <w:i/>
          <w:iCs/>
          <w:sz w:val="20"/>
          <w:szCs w:val="20"/>
        </w:rPr>
        <w:t xml:space="preserve">Environmental Planning and Assessment Act 1979 </w:t>
      </w:r>
      <w:r w:rsidRPr="004B42C5">
        <w:rPr>
          <w:rFonts w:ascii="Century Gothic" w:hAnsi="Century Gothic"/>
          <w:sz w:val="20"/>
          <w:szCs w:val="20"/>
        </w:rPr>
        <w:t>to help minimise risk to water quality, water quantity, water supply infrastructure and catchment health.</w:t>
      </w:r>
    </w:p>
    <w:p w14:paraId="407710B5" w14:textId="15EA7A83" w:rsidR="008126BF" w:rsidRPr="00E127ED" w:rsidRDefault="000854FD" w:rsidP="00960540">
      <w:pPr>
        <w:pStyle w:val="ListParagraph"/>
        <w:numPr>
          <w:ilvl w:val="0"/>
          <w:numId w:val="1"/>
        </w:numPr>
        <w:spacing w:before="60" w:after="60" w:line="360" w:lineRule="auto"/>
        <w:ind w:right="391"/>
        <w:jc w:val="both"/>
        <w:rPr>
          <w:rFonts w:ascii="Century Gothic" w:hAnsi="Century Gothic"/>
          <w:sz w:val="20"/>
          <w:szCs w:val="20"/>
        </w:rPr>
      </w:pPr>
      <w:r w:rsidRPr="004B42C5">
        <w:rPr>
          <w:rFonts w:ascii="Century Gothic" w:hAnsi="Century Gothic"/>
          <w:sz w:val="20"/>
          <w:szCs w:val="20"/>
        </w:rPr>
        <w:t xml:space="preserve">Provide expert advice and overview of technical assessments </w:t>
      </w:r>
      <w:r w:rsidR="004B42C5" w:rsidRPr="00E127ED">
        <w:rPr>
          <w:rFonts w:ascii="Century Gothic" w:hAnsi="Century Gothic"/>
          <w:sz w:val="20"/>
          <w:szCs w:val="20"/>
        </w:rPr>
        <w:t xml:space="preserve">on </w:t>
      </w:r>
      <w:proofErr w:type="spellStart"/>
      <w:r w:rsidR="00D52246" w:rsidRPr="00E127ED">
        <w:rPr>
          <w:rFonts w:ascii="Century Gothic" w:hAnsi="Century Gothic"/>
          <w:sz w:val="20"/>
          <w:szCs w:val="20"/>
        </w:rPr>
        <w:t>WaterNSW’s</w:t>
      </w:r>
      <w:proofErr w:type="spellEnd"/>
      <w:r w:rsidR="00D52246" w:rsidRPr="00E127ED">
        <w:rPr>
          <w:rFonts w:ascii="Century Gothic" w:hAnsi="Century Gothic"/>
          <w:sz w:val="20"/>
          <w:szCs w:val="20"/>
        </w:rPr>
        <w:t xml:space="preserve"> advice and comments </w:t>
      </w:r>
      <w:r w:rsidR="002E22EC" w:rsidRPr="00E127ED">
        <w:rPr>
          <w:rFonts w:ascii="Century Gothic" w:hAnsi="Century Gothic"/>
          <w:sz w:val="20"/>
          <w:szCs w:val="20"/>
        </w:rPr>
        <w:t>on development applications, State significant developments and infrastructure.</w:t>
      </w:r>
    </w:p>
    <w:p w14:paraId="0780A4FB" w14:textId="714E0ABB" w:rsidR="000F4EED" w:rsidRDefault="003F6FA1" w:rsidP="00263727">
      <w:pPr>
        <w:pStyle w:val="ListParagraph"/>
        <w:numPr>
          <w:ilvl w:val="0"/>
          <w:numId w:val="1"/>
        </w:numPr>
        <w:spacing w:before="60" w:after="60" w:line="360" w:lineRule="auto"/>
        <w:ind w:right="391"/>
        <w:jc w:val="both"/>
      </w:pPr>
      <w:r w:rsidRPr="00E127ED">
        <w:rPr>
          <w:rFonts w:ascii="Century Gothic" w:hAnsi="Century Gothic"/>
          <w:sz w:val="20"/>
          <w:szCs w:val="20"/>
        </w:rPr>
        <w:t xml:space="preserve"> </w:t>
      </w:r>
      <w:r w:rsidR="00960540" w:rsidRPr="004B42C5">
        <w:rPr>
          <w:rFonts w:ascii="Century Gothic" w:hAnsi="Century Gothic"/>
          <w:sz w:val="20"/>
          <w:szCs w:val="20"/>
        </w:rPr>
        <w:t>Ensure WaterNSW concurrence conditions are implemented as required. Ensure concurrence</w:t>
      </w:r>
      <w:r w:rsidR="00960540" w:rsidRPr="009F790B">
        <w:rPr>
          <w:rFonts w:ascii="Century Gothic" w:hAnsi="Century Gothic"/>
          <w:sz w:val="20"/>
          <w:szCs w:val="20"/>
        </w:rPr>
        <w:t xml:space="preserve"> conditions requiring a role for WaterNSW are appropriately implemented.</w:t>
      </w:r>
    </w:p>
    <w:p w14:paraId="00969B73" w14:textId="6BA080F8" w:rsidR="009452BD" w:rsidRPr="000F4EED" w:rsidRDefault="00960540" w:rsidP="000F4EED">
      <w:pPr>
        <w:pStyle w:val="ListParagraph"/>
        <w:numPr>
          <w:ilvl w:val="0"/>
          <w:numId w:val="1"/>
        </w:numPr>
        <w:spacing w:before="60" w:after="60" w:line="360" w:lineRule="auto"/>
        <w:ind w:right="391"/>
        <w:jc w:val="both"/>
        <w:rPr>
          <w:rFonts w:ascii="Century Gothic" w:hAnsi="Century Gothic"/>
          <w:sz w:val="20"/>
          <w:szCs w:val="20"/>
        </w:rPr>
      </w:pPr>
      <w:r w:rsidRPr="000F4EED">
        <w:rPr>
          <w:rFonts w:ascii="Century Gothic" w:hAnsi="Century Gothic"/>
          <w:sz w:val="20"/>
          <w:szCs w:val="20"/>
        </w:rPr>
        <w:t xml:space="preserve">Provide specialist water quality input to the development of assessment tools, guidelines, current recommended </w:t>
      </w:r>
      <w:proofErr w:type="gramStart"/>
      <w:r w:rsidRPr="000F4EED">
        <w:rPr>
          <w:rFonts w:ascii="Century Gothic" w:hAnsi="Century Gothic"/>
          <w:sz w:val="20"/>
          <w:szCs w:val="20"/>
        </w:rPr>
        <w:t>practices</w:t>
      </w:r>
      <w:proofErr w:type="gramEnd"/>
      <w:r w:rsidRPr="000F4EED">
        <w:rPr>
          <w:rFonts w:ascii="Century Gothic" w:hAnsi="Century Gothic"/>
          <w:sz w:val="20"/>
          <w:szCs w:val="20"/>
        </w:rPr>
        <w:t xml:space="preserve"> and standards to assist in the efficient assessment of proposals.</w:t>
      </w:r>
      <w:r w:rsidR="009452BD" w:rsidRPr="000F4EED">
        <w:rPr>
          <w:rFonts w:ascii="Century Gothic" w:hAnsi="Century Gothic"/>
          <w:sz w:val="20"/>
          <w:szCs w:val="20"/>
        </w:rPr>
        <w:t xml:space="preserve"> </w:t>
      </w:r>
    </w:p>
    <w:p w14:paraId="3497259F" w14:textId="6223868F" w:rsidR="00960540" w:rsidRPr="00E06CA0" w:rsidRDefault="009452BD" w:rsidP="009452BD">
      <w:pPr>
        <w:pStyle w:val="ListParagraph"/>
        <w:numPr>
          <w:ilvl w:val="0"/>
          <w:numId w:val="1"/>
        </w:numPr>
        <w:spacing w:before="60" w:after="60" w:line="360" w:lineRule="auto"/>
        <w:ind w:right="39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Support in the ad</w:t>
      </w:r>
      <w:r w:rsidRPr="00960540">
        <w:rPr>
          <w:rFonts w:ascii="Century Gothic" w:hAnsi="Century Gothic"/>
          <w:sz w:val="20"/>
          <w:szCs w:val="20"/>
        </w:rPr>
        <w:t>minis</w:t>
      </w:r>
      <w:r>
        <w:rPr>
          <w:rFonts w:ascii="Century Gothic" w:hAnsi="Century Gothic"/>
          <w:sz w:val="20"/>
          <w:szCs w:val="20"/>
        </w:rPr>
        <w:t>tration</w:t>
      </w:r>
      <w:r w:rsidRPr="00960540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Pr="00960540">
        <w:rPr>
          <w:rFonts w:ascii="Century Gothic" w:hAnsi="Century Gothic"/>
          <w:sz w:val="20"/>
          <w:szCs w:val="20"/>
        </w:rPr>
        <w:t>update</w:t>
      </w:r>
      <w:proofErr w:type="gramEnd"/>
      <w:r w:rsidRPr="00960540">
        <w:rPr>
          <w:rFonts w:ascii="Century Gothic" w:hAnsi="Century Gothic"/>
          <w:sz w:val="20"/>
          <w:szCs w:val="20"/>
        </w:rPr>
        <w:t xml:space="preserve"> and training for development assessment tools.</w:t>
      </w:r>
    </w:p>
    <w:p w14:paraId="20D56C13" w14:textId="215802B9" w:rsidR="00C13A82" w:rsidRDefault="00DC47AB" w:rsidP="00E06CA0">
      <w:pPr>
        <w:pStyle w:val="ListParagraph"/>
        <w:numPr>
          <w:ilvl w:val="0"/>
          <w:numId w:val="1"/>
        </w:numPr>
        <w:spacing w:before="60" w:after="60" w:line="360" w:lineRule="auto"/>
        <w:ind w:right="39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Provide specialist support</w:t>
      </w:r>
      <w:r w:rsidR="00C13A82">
        <w:rPr>
          <w:rFonts w:ascii="Century Gothic" w:hAnsi="Century Gothic"/>
          <w:sz w:val="20"/>
          <w:szCs w:val="20"/>
        </w:rPr>
        <w:t xml:space="preserve"> in </w:t>
      </w:r>
      <w:r>
        <w:rPr>
          <w:rFonts w:ascii="Century Gothic" w:hAnsi="Century Gothic"/>
          <w:sz w:val="20"/>
          <w:szCs w:val="20"/>
        </w:rPr>
        <w:t xml:space="preserve">the </w:t>
      </w:r>
      <w:r w:rsidR="002761B7" w:rsidRPr="001C218C">
        <w:rPr>
          <w:rFonts w:ascii="Century Gothic" w:hAnsi="Century Gothic"/>
          <w:sz w:val="20"/>
          <w:szCs w:val="20"/>
        </w:rPr>
        <w:t>assessment, management, monitoring and review of mining activities</w:t>
      </w:r>
      <w:r w:rsidR="002761B7">
        <w:rPr>
          <w:rFonts w:ascii="Century Gothic" w:hAnsi="Century Gothic"/>
          <w:sz w:val="20"/>
          <w:szCs w:val="20"/>
        </w:rPr>
        <w:t>,</w:t>
      </w:r>
      <w:r w:rsidR="002761B7" w:rsidRPr="001C218C">
        <w:rPr>
          <w:rFonts w:ascii="Century Gothic" w:hAnsi="Century Gothic"/>
          <w:sz w:val="20"/>
          <w:szCs w:val="20"/>
        </w:rPr>
        <w:t xml:space="preserve"> </w:t>
      </w:r>
      <w:r w:rsidR="00C34B06">
        <w:rPr>
          <w:rFonts w:ascii="Century Gothic" w:hAnsi="Century Gothic"/>
          <w:sz w:val="20"/>
          <w:szCs w:val="20"/>
        </w:rPr>
        <w:t xml:space="preserve">and </w:t>
      </w:r>
      <w:r w:rsidR="002761B7" w:rsidRPr="001C218C">
        <w:rPr>
          <w:rFonts w:ascii="Century Gothic" w:hAnsi="Century Gothic"/>
          <w:sz w:val="20"/>
          <w:szCs w:val="20"/>
        </w:rPr>
        <w:t>post approval mining operations</w:t>
      </w:r>
      <w:r w:rsidR="002761B7">
        <w:rPr>
          <w:rFonts w:ascii="Century Gothic" w:hAnsi="Century Gothic"/>
          <w:sz w:val="20"/>
          <w:szCs w:val="20"/>
        </w:rPr>
        <w:t xml:space="preserve"> </w:t>
      </w:r>
      <w:r w:rsidR="00C34B06">
        <w:rPr>
          <w:rFonts w:ascii="Century Gothic" w:hAnsi="Century Gothic"/>
          <w:sz w:val="20"/>
          <w:szCs w:val="20"/>
        </w:rPr>
        <w:t>to</w:t>
      </w:r>
      <w:r w:rsidR="002761B7" w:rsidRPr="001C218C">
        <w:rPr>
          <w:rFonts w:ascii="Century Gothic" w:hAnsi="Century Gothic"/>
          <w:sz w:val="20"/>
          <w:szCs w:val="20"/>
        </w:rPr>
        <w:t xml:space="preserve"> ensure impacts on WaterNSW catchments and assets are adequately considered and managed</w:t>
      </w:r>
      <w:r w:rsidR="00483E0B">
        <w:rPr>
          <w:rFonts w:ascii="Century Gothic" w:hAnsi="Century Gothic"/>
          <w:sz w:val="20"/>
          <w:szCs w:val="20"/>
        </w:rPr>
        <w:t>, as required</w:t>
      </w:r>
      <w:r w:rsidR="002761B7" w:rsidRPr="001C218C">
        <w:rPr>
          <w:rFonts w:ascii="Century Gothic" w:hAnsi="Century Gothic"/>
          <w:sz w:val="20"/>
          <w:szCs w:val="20"/>
        </w:rPr>
        <w:t>.</w:t>
      </w:r>
    </w:p>
    <w:p w14:paraId="116ABF2C" w14:textId="5181A9CF" w:rsidR="004C006D" w:rsidRPr="00E06CA0" w:rsidRDefault="004C006D" w:rsidP="00E06CA0">
      <w:pPr>
        <w:pStyle w:val="ListParagraph"/>
        <w:numPr>
          <w:ilvl w:val="0"/>
          <w:numId w:val="1"/>
        </w:numPr>
        <w:spacing w:before="60" w:after="60" w:line="360" w:lineRule="auto"/>
        <w:ind w:right="39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Provide mentoring and support </w:t>
      </w:r>
      <w:r w:rsidR="000B414B">
        <w:rPr>
          <w:rFonts w:ascii="Century Gothic" w:hAnsi="Century Gothic"/>
          <w:sz w:val="20"/>
          <w:szCs w:val="20"/>
        </w:rPr>
        <w:t>capability</w:t>
      </w:r>
      <w:r>
        <w:rPr>
          <w:rFonts w:ascii="Century Gothic" w:hAnsi="Century Gothic"/>
          <w:sz w:val="20"/>
          <w:szCs w:val="20"/>
        </w:rPr>
        <w:t xml:space="preserve"> development </w:t>
      </w:r>
      <w:r w:rsidR="00104EFA">
        <w:rPr>
          <w:rFonts w:ascii="Century Gothic" w:hAnsi="Century Gothic"/>
          <w:sz w:val="20"/>
          <w:szCs w:val="20"/>
        </w:rPr>
        <w:t xml:space="preserve">for the </w:t>
      </w:r>
      <w:r w:rsidR="000B414B">
        <w:rPr>
          <w:rFonts w:ascii="Century Gothic" w:hAnsi="Century Gothic"/>
          <w:sz w:val="20"/>
          <w:szCs w:val="20"/>
        </w:rPr>
        <w:t>team</w:t>
      </w:r>
      <w:r w:rsidR="00CB24AA">
        <w:rPr>
          <w:rFonts w:ascii="Century Gothic" w:hAnsi="Century Gothic"/>
          <w:sz w:val="20"/>
          <w:szCs w:val="20"/>
        </w:rPr>
        <w:t>.</w:t>
      </w:r>
    </w:p>
    <w:p w14:paraId="6E35085B" w14:textId="5BB5B5DD" w:rsidR="00017FB9" w:rsidRPr="00801270" w:rsidRDefault="00017FB9" w:rsidP="00420792">
      <w:pPr>
        <w:pStyle w:val="Heading2"/>
      </w:pPr>
      <w:r w:rsidRPr="00801270">
        <w:t>Key Challenges</w:t>
      </w:r>
    </w:p>
    <w:p w14:paraId="0E7E99AB" w14:textId="6939A119" w:rsidR="00ED0DBB" w:rsidRPr="00ED0DBB" w:rsidRDefault="00ED0DBB" w:rsidP="00ED0DBB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60" w:after="60" w:line="360" w:lineRule="auto"/>
        <w:ind w:left="833" w:right="390" w:hanging="357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ED0DBB">
        <w:rPr>
          <w:rFonts w:ascii="Century Gothic" w:hAnsi="Century Gothic" w:cs="Arial"/>
          <w:spacing w:val="-1"/>
          <w:sz w:val="20"/>
          <w:szCs w:val="20"/>
        </w:rPr>
        <w:t xml:space="preserve">Negotiating with project managers, proponents, and their consultants, agencies, and councils on the contents of development applications, environmental impact assessment documents and consent/approval conditions </w:t>
      </w:r>
      <w:r w:rsidRPr="002C3967">
        <w:rPr>
          <w:rFonts w:ascii="Century Gothic" w:hAnsi="Century Gothic" w:cs="Arial"/>
          <w:spacing w:val="-1"/>
          <w:sz w:val="20"/>
          <w:szCs w:val="20"/>
        </w:rPr>
        <w:t xml:space="preserve">to ensure </w:t>
      </w:r>
      <w:proofErr w:type="spellStart"/>
      <w:r w:rsidRPr="002C3967">
        <w:rPr>
          <w:rFonts w:ascii="Century Gothic" w:hAnsi="Century Gothic" w:cs="Arial"/>
          <w:spacing w:val="-1"/>
          <w:sz w:val="20"/>
          <w:szCs w:val="20"/>
        </w:rPr>
        <w:t>WaterNSW’s</w:t>
      </w:r>
      <w:proofErr w:type="spellEnd"/>
      <w:r w:rsidRPr="002C3967">
        <w:rPr>
          <w:rFonts w:ascii="Century Gothic" w:hAnsi="Century Gothic" w:cs="Arial"/>
          <w:spacing w:val="-1"/>
          <w:sz w:val="20"/>
          <w:szCs w:val="20"/>
        </w:rPr>
        <w:t xml:space="preserve"> interests are appropriately addressed</w:t>
      </w:r>
      <w:r w:rsidRPr="00ED0DBB">
        <w:rPr>
          <w:rFonts w:ascii="Century Gothic" w:hAnsi="Century Gothic" w:cs="Arial"/>
          <w:spacing w:val="-1"/>
          <w:sz w:val="20"/>
          <w:szCs w:val="20"/>
        </w:rPr>
        <w:t>.</w:t>
      </w:r>
    </w:p>
    <w:p w14:paraId="141B8424" w14:textId="6FEEBF23" w:rsidR="003802E8" w:rsidRDefault="00D43722" w:rsidP="000A0F32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60" w:after="60" w:line="360" w:lineRule="auto"/>
        <w:ind w:left="833" w:right="390" w:hanging="357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B80518">
        <w:rPr>
          <w:rFonts w:ascii="Century Gothic" w:hAnsi="Century Gothic" w:cs="Arial"/>
          <w:spacing w:val="-1"/>
          <w:sz w:val="20"/>
          <w:szCs w:val="20"/>
        </w:rPr>
        <w:t>M</w:t>
      </w:r>
      <w:r w:rsidR="003802E8" w:rsidRPr="00B80518">
        <w:rPr>
          <w:rFonts w:ascii="Century Gothic" w:hAnsi="Century Gothic" w:cs="Arial"/>
          <w:spacing w:val="-1"/>
          <w:sz w:val="20"/>
          <w:szCs w:val="20"/>
        </w:rPr>
        <w:t xml:space="preserve">aintaining high levels of customer service, </w:t>
      </w:r>
      <w:proofErr w:type="gramStart"/>
      <w:r w:rsidR="003802E8" w:rsidRPr="00B80518">
        <w:rPr>
          <w:rFonts w:ascii="Century Gothic" w:hAnsi="Century Gothic" w:cs="Arial"/>
          <w:spacing w:val="-1"/>
          <w:sz w:val="20"/>
          <w:szCs w:val="20"/>
        </w:rPr>
        <w:t>efficiency</w:t>
      </w:r>
      <w:proofErr w:type="gramEnd"/>
      <w:r w:rsidR="003802E8" w:rsidRPr="00B80518">
        <w:rPr>
          <w:rFonts w:ascii="Century Gothic" w:hAnsi="Century Gothic" w:cs="Arial"/>
          <w:spacing w:val="-1"/>
          <w:sz w:val="20"/>
          <w:szCs w:val="20"/>
        </w:rPr>
        <w:t xml:space="preserve"> and effectiveness.</w:t>
      </w:r>
    </w:p>
    <w:p w14:paraId="2C532C34" w14:textId="47C7D8BA" w:rsidR="00322FE7" w:rsidRPr="00E06CA0" w:rsidRDefault="00322FE7" w:rsidP="000A0F32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60" w:after="60" w:line="360" w:lineRule="auto"/>
        <w:ind w:left="833" w:right="390" w:hanging="357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E06CA0">
        <w:rPr>
          <w:rFonts w:ascii="Century Gothic" w:hAnsi="Century Gothic" w:cs="Arial"/>
          <w:spacing w:val="-1"/>
          <w:sz w:val="20"/>
          <w:szCs w:val="20"/>
        </w:rPr>
        <w:t xml:space="preserve">Ensuring </w:t>
      </w:r>
      <w:r w:rsidR="00B522B7" w:rsidRPr="00E06CA0">
        <w:rPr>
          <w:rFonts w:ascii="Century Gothic" w:hAnsi="Century Gothic" w:cs="Arial"/>
          <w:spacing w:val="-1"/>
          <w:sz w:val="20"/>
          <w:szCs w:val="20"/>
        </w:rPr>
        <w:t xml:space="preserve">advice is provided within </w:t>
      </w:r>
      <w:r w:rsidRPr="00E06CA0">
        <w:rPr>
          <w:rFonts w:ascii="Century Gothic" w:hAnsi="Century Gothic" w:cs="Arial"/>
          <w:spacing w:val="-1"/>
          <w:sz w:val="20"/>
          <w:szCs w:val="20"/>
        </w:rPr>
        <w:t>statutory timeframes</w:t>
      </w:r>
      <w:r w:rsidR="000E3415" w:rsidRPr="00E06CA0">
        <w:rPr>
          <w:rFonts w:ascii="Century Gothic" w:hAnsi="Century Gothic" w:cs="Arial"/>
          <w:spacing w:val="-1"/>
          <w:sz w:val="20"/>
          <w:szCs w:val="20"/>
        </w:rPr>
        <w:t xml:space="preserve"> and maintaining th</w:t>
      </w:r>
      <w:r w:rsidR="00E8470D" w:rsidRPr="00E06CA0">
        <w:rPr>
          <w:rFonts w:ascii="Century Gothic" w:hAnsi="Century Gothic" w:cs="Arial"/>
          <w:spacing w:val="-1"/>
          <w:sz w:val="20"/>
          <w:szCs w:val="20"/>
        </w:rPr>
        <w:t xml:space="preserve">e quality of </w:t>
      </w:r>
      <w:proofErr w:type="spellStart"/>
      <w:r w:rsidR="00E8470D" w:rsidRPr="00E06CA0">
        <w:rPr>
          <w:rFonts w:ascii="Century Gothic" w:hAnsi="Century Gothic" w:cs="Arial"/>
          <w:spacing w:val="-1"/>
          <w:sz w:val="20"/>
          <w:szCs w:val="20"/>
        </w:rPr>
        <w:t>WaterNSW’s</w:t>
      </w:r>
      <w:proofErr w:type="spellEnd"/>
      <w:r w:rsidR="00E8470D" w:rsidRPr="00E06CA0">
        <w:rPr>
          <w:rFonts w:ascii="Century Gothic" w:hAnsi="Century Gothic" w:cs="Arial"/>
          <w:spacing w:val="-1"/>
          <w:sz w:val="20"/>
          <w:szCs w:val="20"/>
        </w:rPr>
        <w:t xml:space="preserve"> advice and comments</w:t>
      </w:r>
      <w:r w:rsidR="0087487B" w:rsidRPr="00E06CA0">
        <w:rPr>
          <w:rFonts w:ascii="Century Gothic" w:hAnsi="Century Gothic" w:cs="Arial"/>
          <w:spacing w:val="-1"/>
          <w:sz w:val="20"/>
          <w:szCs w:val="20"/>
        </w:rPr>
        <w:t>.</w:t>
      </w:r>
    </w:p>
    <w:p w14:paraId="55711DA9" w14:textId="36483D11" w:rsidR="00B00CDE" w:rsidRPr="002C3967" w:rsidRDefault="00B00CDE" w:rsidP="00B00CDE">
      <w:pPr>
        <w:keepNext/>
        <w:keepLines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60" w:after="60" w:line="360" w:lineRule="auto"/>
        <w:ind w:left="833" w:right="390" w:hanging="357"/>
        <w:jc w:val="both"/>
        <w:rPr>
          <w:rFonts w:ascii="Century Gothic" w:eastAsiaTheme="majorEastAsia" w:hAnsi="Century Gothic"/>
          <w:sz w:val="20"/>
          <w:szCs w:val="20"/>
        </w:rPr>
      </w:pPr>
      <w:r w:rsidRPr="002C3967">
        <w:rPr>
          <w:rFonts w:ascii="Century Gothic" w:hAnsi="Century Gothic" w:cs="Arial"/>
          <w:spacing w:val="-1"/>
          <w:sz w:val="20"/>
          <w:szCs w:val="20"/>
        </w:rPr>
        <w:t>Operating in a rapidly changing planning legislative environment.</w:t>
      </w:r>
    </w:p>
    <w:p w14:paraId="6F93A28C" w14:textId="7865F646" w:rsidR="008C5832" w:rsidRPr="00420792" w:rsidRDefault="008C5832" w:rsidP="00420792">
      <w:pPr>
        <w:pStyle w:val="Heading2"/>
      </w:pPr>
      <w:r w:rsidRPr="00420792">
        <w:t>Significant Internal Relationships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4395"/>
        <w:gridCol w:w="5341"/>
      </w:tblGrid>
      <w:tr w:rsidR="00F47C99" w:rsidRPr="00F73267" w14:paraId="7EE67BF2" w14:textId="77777777" w:rsidTr="00CC3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3321B03" w14:textId="3140DD53" w:rsidR="00F47C99" w:rsidRPr="00F73267" w:rsidRDefault="00734FA5" w:rsidP="007718BB">
            <w:pPr>
              <w:pStyle w:val="Tableheading2"/>
            </w:pPr>
            <w:r w:rsidRPr="00F73267">
              <w:t>Stakeholder</w:t>
            </w:r>
          </w:p>
        </w:tc>
        <w:tc>
          <w:tcPr>
            <w:tcW w:w="5341" w:type="dxa"/>
          </w:tcPr>
          <w:p w14:paraId="644324C5" w14:textId="4548D6C0" w:rsidR="00F47C99" w:rsidRPr="00F73267" w:rsidRDefault="00734FA5" w:rsidP="007718BB">
            <w:pPr>
              <w:pStyle w:val="Table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3267">
              <w:t>Purpose of Relationship</w:t>
            </w:r>
          </w:p>
        </w:tc>
      </w:tr>
      <w:tr w:rsidR="00F47C99" w:rsidRPr="00065A11" w14:paraId="518A73D2" w14:textId="77777777" w:rsidTr="00D97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6B2DDFB5" w14:textId="61E8962E" w:rsidR="00F47C99" w:rsidRPr="00065A11" w:rsidRDefault="00CA5FFE" w:rsidP="00A22236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065A1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Operations </w:t>
            </w:r>
            <w:r w:rsidR="00004CC6" w:rsidRPr="00065A1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Portfolio</w:t>
            </w:r>
          </w:p>
        </w:tc>
        <w:tc>
          <w:tcPr>
            <w:tcW w:w="5341" w:type="dxa"/>
            <w:shd w:val="clear" w:color="auto" w:fill="auto"/>
          </w:tcPr>
          <w:p w14:paraId="59EC1910" w14:textId="4F8DFC0D" w:rsidR="00F47C99" w:rsidRPr="00065A11" w:rsidRDefault="004650BE" w:rsidP="00A22236">
            <w:pPr>
              <w:spacing w:before="60" w:after="60" w:line="360" w:lineRule="auto"/>
              <w:ind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65A11">
              <w:rPr>
                <w:rFonts w:ascii="Century Gothic" w:hAnsi="Century Gothic"/>
                <w:sz w:val="20"/>
                <w:szCs w:val="20"/>
              </w:rPr>
              <w:t>Advice</w:t>
            </w:r>
            <w:r w:rsidR="00A55C29" w:rsidRPr="00065A11">
              <w:rPr>
                <w:rFonts w:ascii="Century Gothic" w:hAnsi="Century Gothic"/>
                <w:sz w:val="20"/>
                <w:szCs w:val="20"/>
              </w:rPr>
              <w:t xml:space="preserve"> and support. </w:t>
            </w:r>
          </w:p>
        </w:tc>
      </w:tr>
      <w:tr w:rsidR="00F47C99" w:rsidRPr="00065A11" w14:paraId="75AAAF36" w14:textId="77777777" w:rsidTr="00CC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78A268A" w14:textId="1FD35D82" w:rsidR="00F47C99" w:rsidRPr="00065A11" w:rsidRDefault="00D14FDB" w:rsidP="00A22236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065A11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Strategy &amp; Performance Portfolio</w:t>
            </w:r>
          </w:p>
        </w:tc>
        <w:tc>
          <w:tcPr>
            <w:tcW w:w="5341" w:type="dxa"/>
          </w:tcPr>
          <w:p w14:paraId="19F56183" w14:textId="3E98E7A2" w:rsidR="00F47C99" w:rsidRPr="00065A11" w:rsidRDefault="004D73A8" w:rsidP="00A22236">
            <w:pPr>
              <w:spacing w:before="60" w:after="60" w:line="360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065A11">
              <w:rPr>
                <w:rFonts w:ascii="Century Gothic" w:hAnsi="Century Gothic"/>
                <w:sz w:val="20"/>
                <w:szCs w:val="20"/>
              </w:rPr>
              <w:t>Advice and support.</w:t>
            </w:r>
          </w:p>
        </w:tc>
      </w:tr>
    </w:tbl>
    <w:p w14:paraId="0C940686" w14:textId="667ECD5F" w:rsidR="008C5832" w:rsidRPr="00801270" w:rsidRDefault="008C5832" w:rsidP="00420792">
      <w:pPr>
        <w:pStyle w:val="Heading2"/>
      </w:pPr>
      <w:r w:rsidRPr="00801270">
        <w:t>Significant External Relationships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4395"/>
        <w:gridCol w:w="5341"/>
      </w:tblGrid>
      <w:tr w:rsidR="00204EF7" w:rsidRPr="00F73267" w14:paraId="4F1DAD83" w14:textId="77777777" w:rsidTr="00CC3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BD0C3C7" w14:textId="77777777" w:rsidR="00204EF7" w:rsidRPr="00CC02F5" w:rsidRDefault="00204EF7" w:rsidP="005E481B">
            <w:pPr>
              <w:pStyle w:val="Tableheading2"/>
            </w:pPr>
            <w:r w:rsidRPr="00CC02F5">
              <w:t>Stakeholder</w:t>
            </w:r>
          </w:p>
        </w:tc>
        <w:tc>
          <w:tcPr>
            <w:tcW w:w="5341" w:type="dxa"/>
          </w:tcPr>
          <w:p w14:paraId="02F3695C" w14:textId="77777777" w:rsidR="00204EF7" w:rsidRPr="00CC02F5" w:rsidRDefault="00204EF7" w:rsidP="005E481B">
            <w:pPr>
              <w:pStyle w:val="Table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02F5">
              <w:t>Purpose of Relationship</w:t>
            </w:r>
          </w:p>
        </w:tc>
      </w:tr>
      <w:tr w:rsidR="00CA1C5E" w:rsidRPr="00065A11" w14:paraId="43761CD1" w14:textId="77777777" w:rsidTr="00D97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4096522F" w14:textId="14967D18" w:rsidR="00CA1C5E" w:rsidRPr="00065A11" w:rsidRDefault="00CA1C5E" w:rsidP="0059463C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CA1C5E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Local government – development assessment staff </w:t>
            </w:r>
          </w:p>
        </w:tc>
        <w:tc>
          <w:tcPr>
            <w:tcW w:w="5341" w:type="dxa"/>
            <w:shd w:val="clear" w:color="auto" w:fill="auto"/>
          </w:tcPr>
          <w:p w14:paraId="61DBAC84" w14:textId="3DA0049C" w:rsidR="00CA1C5E" w:rsidRPr="00CA1C5E" w:rsidRDefault="00CA1C5E" w:rsidP="0059463C">
            <w:pPr>
              <w:spacing w:before="60" w:after="60" w:line="360" w:lineRule="auto"/>
              <w:ind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A1C5E">
              <w:rPr>
                <w:rFonts w:ascii="Century Gothic" w:hAnsi="Century Gothic"/>
                <w:sz w:val="20"/>
                <w:szCs w:val="20"/>
              </w:rPr>
              <w:t xml:space="preserve">WaterNSW provide concurrence advice and expert technical advice. </w:t>
            </w:r>
          </w:p>
        </w:tc>
      </w:tr>
      <w:tr w:rsidR="00CA1C5E" w:rsidRPr="00065A11" w14:paraId="01962FA9" w14:textId="77777777" w:rsidTr="0059463C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3FCCAD5" w14:textId="77777777" w:rsidR="00CA1C5E" w:rsidRPr="00CA1C5E" w:rsidRDefault="00CA1C5E" w:rsidP="00CA1C5E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CA1C5E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 xml:space="preserve">State government – development assessment staff </w:t>
            </w:r>
          </w:p>
          <w:p w14:paraId="05586CCE" w14:textId="6BB96FA4" w:rsidR="00CA1C5E" w:rsidRPr="00065A11" w:rsidRDefault="00CA1C5E" w:rsidP="00CA1C5E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41" w:type="dxa"/>
          </w:tcPr>
          <w:p w14:paraId="2C52DA87" w14:textId="2239CA3B" w:rsidR="00CA1C5E" w:rsidRPr="00CA1C5E" w:rsidRDefault="0059463C" w:rsidP="00CA1C5E">
            <w:pPr>
              <w:spacing w:before="60" w:after="60" w:line="360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Provide expert technical advice on and responses to </w:t>
            </w:r>
            <w:r w:rsidR="00CA1C5E" w:rsidRPr="00CA1C5E">
              <w:rPr>
                <w:rFonts w:ascii="Century Gothic" w:hAnsi="Century Gothic"/>
                <w:sz w:val="20"/>
                <w:szCs w:val="20"/>
              </w:rPr>
              <w:t>State Significant Development/Infrastructure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proposals</w:t>
            </w:r>
          </w:p>
        </w:tc>
      </w:tr>
      <w:tr w:rsidR="00CA1C5E" w:rsidRPr="00065A11" w14:paraId="48722B06" w14:textId="77777777" w:rsidTr="00755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5DA6A5BE" w14:textId="3DE603C0" w:rsidR="00CA1C5E" w:rsidRPr="00CA1C5E" w:rsidRDefault="00CA1C5E" w:rsidP="00CA1C5E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CA1C5E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Proponents and their consultants</w:t>
            </w:r>
          </w:p>
        </w:tc>
        <w:tc>
          <w:tcPr>
            <w:tcW w:w="5341" w:type="dxa"/>
            <w:shd w:val="clear" w:color="auto" w:fill="auto"/>
          </w:tcPr>
          <w:p w14:paraId="5D31540C" w14:textId="4C809DFA" w:rsidR="00CA1C5E" w:rsidRPr="00CA1C5E" w:rsidRDefault="00CA1C5E" w:rsidP="00CA1C5E">
            <w:pPr>
              <w:spacing w:before="60" w:after="60" w:line="360" w:lineRule="auto"/>
              <w:ind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CA1C5E">
              <w:rPr>
                <w:rFonts w:ascii="Century Gothic" w:hAnsi="Century Gothic"/>
                <w:sz w:val="20"/>
                <w:szCs w:val="20"/>
              </w:rPr>
              <w:t xml:space="preserve">Provide technical advice and </w:t>
            </w:r>
            <w:proofErr w:type="spellStart"/>
            <w:r w:rsidRPr="00CA1C5E">
              <w:rPr>
                <w:rFonts w:ascii="Century Gothic" w:hAnsi="Century Gothic"/>
                <w:sz w:val="20"/>
                <w:szCs w:val="20"/>
              </w:rPr>
              <w:t>WaterNSW’s</w:t>
            </w:r>
            <w:proofErr w:type="spellEnd"/>
            <w:r w:rsidRPr="00CA1C5E">
              <w:rPr>
                <w:rFonts w:ascii="Century Gothic" w:hAnsi="Century Gothic"/>
                <w:sz w:val="20"/>
                <w:szCs w:val="20"/>
              </w:rPr>
              <w:t xml:space="preserve"> assessment process for the development </w:t>
            </w:r>
          </w:p>
        </w:tc>
      </w:tr>
    </w:tbl>
    <w:p w14:paraId="46FD73F9" w14:textId="3A1FD4D9" w:rsidR="008C5832" w:rsidRPr="00801270" w:rsidRDefault="008C5832" w:rsidP="00420792">
      <w:pPr>
        <w:pStyle w:val="Heading2"/>
      </w:pPr>
      <w:r w:rsidRPr="00801270">
        <w:t>Delegations, Financial Accountabilities &amp; Freedom to Act</w:t>
      </w:r>
    </w:p>
    <w:p w14:paraId="32777947" w14:textId="0C2D35A2" w:rsidR="008C5832" w:rsidRDefault="008C5832" w:rsidP="000A0F32">
      <w:pPr>
        <w:spacing w:before="60" w:after="60" w:line="360" w:lineRule="auto"/>
        <w:ind w:right="391"/>
        <w:rPr>
          <w:rFonts w:ascii="Century Gothic" w:hAnsi="Century Gothic"/>
          <w:sz w:val="20"/>
          <w:szCs w:val="20"/>
        </w:rPr>
      </w:pPr>
      <w:r w:rsidRPr="00065A11">
        <w:rPr>
          <w:rFonts w:ascii="Century Gothic" w:hAnsi="Century Gothic"/>
          <w:sz w:val="20"/>
          <w:szCs w:val="20"/>
        </w:rPr>
        <w:t>As defined in the WaterNSW Financial Delegations as varied from time to time.</w:t>
      </w:r>
    </w:p>
    <w:p w14:paraId="306F7E2D" w14:textId="77777777" w:rsidR="00A205F4" w:rsidRDefault="00A205F4" w:rsidP="00420792">
      <w:pPr>
        <w:pStyle w:val="Heading2"/>
      </w:pPr>
    </w:p>
    <w:p w14:paraId="6FFBCEE8" w14:textId="45498491" w:rsidR="008C5832" w:rsidRPr="00801270" w:rsidRDefault="008C5832" w:rsidP="00420792">
      <w:pPr>
        <w:pStyle w:val="Heading2"/>
      </w:pPr>
      <w:r w:rsidRPr="00801270">
        <w:lastRenderedPageBreak/>
        <w:t>WaterNSW Leadership &amp; Performance Competencies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302"/>
        <w:gridCol w:w="1161"/>
        <w:gridCol w:w="5283"/>
      </w:tblGrid>
      <w:tr w:rsidR="00E235B2" w:rsidRPr="00E1469F" w14:paraId="414B06C4" w14:textId="77777777" w:rsidTr="0080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</w:tcPr>
          <w:p w14:paraId="6E867C0E" w14:textId="48638450" w:rsidR="00E235B2" w:rsidRPr="0012509A" w:rsidRDefault="00E235B2" w:rsidP="00E235B2">
            <w:pPr>
              <w:spacing w:before="60" w:after="60" w:line="360" w:lineRule="auto"/>
              <w:ind w:right="390"/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 w:rsidRPr="0012509A">
              <w:rPr>
                <w:rFonts w:ascii="Century Gothic" w:hAnsi="Century Gothic"/>
                <w:color w:val="4472C4" w:themeColor="accent1"/>
              </w:rPr>
              <w:t>People</w:t>
            </w:r>
          </w:p>
        </w:tc>
        <w:tc>
          <w:tcPr>
            <w:tcW w:w="1161" w:type="dxa"/>
          </w:tcPr>
          <w:p w14:paraId="3130261E" w14:textId="6D8FD196" w:rsidR="00E235B2" w:rsidRPr="0012509A" w:rsidRDefault="00E235B2" w:rsidP="00C40CD6">
            <w:pPr>
              <w:spacing w:before="60" w:after="60" w:line="360" w:lineRule="auto"/>
              <w:ind w:right="3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 w:rsidRPr="0012509A">
              <w:rPr>
                <w:rFonts w:ascii="Century Gothic" w:hAnsi="Century Gothic"/>
                <w:color w:val="4472C4" w:themeColor="accent1"/>
              </w:rPr>
              <w:t>Level</w:t>
            </w:r>
          </w:p>
        </w:tc>
        <w:tc>
          <w:tcPr>
            <w:tcW w:w="5283" w:type="dxa"/>
          </w:tcPr>
          <w:p w14:paraId="38521DB9" w14:textId="2C2EB3E3" w:rsidR="00E235B2" w:rsidRPr="0012509A" w:rsidRDefault="00E235B2" w:rsidP="00E235B2">
            <w:pPr>
              <w:spacing w:before="60" w:after="60" w:line="360" w:lineRule="auto"/>
              <w:ind w:right="3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</w:p>
        </w:tc>
      </w:tr>
      <w:tr w:rsidR="00CC0BD6" w:rsidRPr="00E1469F" w14:paraId="48805FE0" w14:textId="77777777" w:rsidTr="00755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shd w:val="clear" w:color="auto" w:fill="auto"/>
          </w:tcPr>
          <w:p w14:paraId="16010F79" w14:textId="1DB9D942" w:rsidR="00CC0BD6" w:rsidRPr="008E7623" w:rsidRDefault="00D60D9C" w:rsidP="008E7623">
            <w:pPr>
              <w:pStyle w:val="Table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Coaching &amp; Developing Others</w:t>
            </w:r>
          </w:p>
        </w:tc>
        <w:tc>
          <w:tcPr>
            <w:tcW w:w="1161" w:type="dxa"/>
            <w:shd w:val="clear" w:color="auto" w:fill="auto"/>
          </w:tcPr>
          <w:p w14:paraId="371A503B" w14:textId="2DA301BD" w:rsidR="00CC0BD6" w:rsidRPr="00E1469F" w:rsidRDefault="00C96389" w:rsidP="00C40CD6">
            <w:pPr>
              <w:spacing w:before="60" w:after="60" w:line="360" w:lineRule="auto"/>
              <w:ind w:right="3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5283" w:type="dxa"/>
            <w:shd w:val="clear" w:color="auto" w:fill="auto"/>
          </w:tcPr>
          <w:p w14:paraId="2BD448A8" w14:textId="77777777" w:rsidR="00E116AA" w:rsidRPr="00E116AA" w:rsidRDefault="00E116AA" w:rsidP="00E116AA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116AA">
              <w:t xml:space="preserve">Supports individual development in line with career aspirations and business </w:t>
            </w:r>
            <w:proofErr w:type="gramStart"/>
            <w:r w:rsidRPr="00E116AA">
              <w:t>requirements</w:t>
            </w:r>
            <w:proofErr w:type="gramEnd"/>
          </w:p>
          <w:p w14:paraId="09F40D75" w14:textId="77777777" w:rsidR="00E116AA" w:rsidRPr="00E116AA" w:rsidRDefault="00E116AA" w:rsidP="00E116AA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116AA">
              <w:t xml:space="preserve">Challenges others to achieve their full </w:t>
            </w:r>
            <w:proofErr w:type="gramStart"/>
            <w:r w:rsidRPr="00E116AA">
              <w:t>potential</w:t>
            </w:r>
            <w:proofErr w:type="gramEnd"/>
          </w:p>
          <w:p w14:paraId="72B4EC5C" w14:textId="77777777" w:rsidR="00E116AA" w:rsidRPr="00E116AA" w:rsidRDefault="00E116AA" w:rsidP="00E116AA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116AA">
              <w:t xml:space="preserve">Actively listens to </w:t>
            </w:r>
            <w:proofErr w:type="gramStart"/>
            <w:r w:rsidRPr="00E116AA">
              <w:t>others</w:t>
            </w:r>
            <w:proofErr w:type="gramEnd"/>
            <w:r w:rsidRPr="00E116AA">
              <w:t xml:space="preserve"> </w:t>
            </w:r>
          </w:p>
          <w:p w14:paraId="21DC81BB" w14:textId="77777777" w:rsidR="00E116AA" w:rsidRPr="00E116AA" w:rsidRDefault="00E116AA" w:rsidP="00E116AA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116AA">
              <w:t xml:space="preserve">Supports others to establish meaningful </w:t>
            </w:r>
            <w:proofErr w:type="gramStart"/>
            <w:r w:rsidRPr="00E116AA">
              <w:t>goals</w:t>
            </w:r>
            <w:proofErr w:type="gramEnd"/>
          </w:p>
          <w:p w14:paraId="41BB462F" w14:textId="1828EE87" w:rsidR="00E116AA" w:rsidRPr="00E1469F" w:rsidRDefault="00E116AA" w:rsidP="002546DB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16AA">
              <w:t>Asks questions to create awareness and encourage self-directed problem solving</w:t>
            </w:r>
          </w:p>
        </w:tc>
      </w:tr>
    </w:tbl>
    <w:p w14:paraId="116D31CA" w14:textId="77777777" w:rsidR="008C5832" w:rsidRPr="002902B6" w:rsidRDefault="008C5832" w:rsidP="00A22236">
      <w:pPr>
        <w:spacing w:after="120" w:line="360" w:lineRule="auto"/>
        <w:ind w:right="390"/>
        <w:rPr>
          <w:rFonts w:ascii="Century Gothic" w:hAnsi="Century Gothic"/>
          <w:sz w:val="20"/>
          <w:szCs w:val="20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335"/>
        <w:gridCol w:w="1005"/>
        <w:gridCol w:w="5406"/>
      </w:tblGrid>
      <w:tr w:rsidR="00BC1E4B" w:rsidRPr="002902B6" w14:paraId="3E63A27D" w14:textId="77777777" w:rsidTr="006A7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1AA81729" w14:textId="402AE6AE" w:rsidR="00204EF7" w:rsidRPr="00CC02F5" w:rsidRDefault="00204EF7" w:rsidP="00CC02F5">
            <w:pPr>
              <w:pStyle w:val="Tableheading2"/>
            </w:pPr>
            <w:r w:rsidRPr="00CC02F5">
              <w:t>Customer</w:t>
            </w:r>
          </w:p>
        </w:tc>
        <w:tc>
          <w:tcPr>
            <w:tcW w:w="1005" w:type="dxa"/>
          </w:tcPr>
          <w:p w14:paraId="3D8D473A" w14:textId="77777777" w:rsidR="00204EF7" w:rsidRPr="00CC02F5" w:rsidRDefault="00204EF7" w:rsidP="00CC02F5">
            <w:pPr>
              <w:pStyle w:val="Table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C02F5">
              <w:t>Level</w:t>
            </w:r>
          </w:p>
        </w:tc>
        <w:tc>
          <w:tcPr>
            <w:tcW w:w="5406" w:type="dxa"/>
          </w:tcPr>
          <w:p w14:paraId="6FF252E9" w14:textId="77777777" w:rsidR="00204EF7" w:rsidRPr="00CC02F5" w:rsidRDefault="00204EF7" w:rsidP="00CC02F5">
            <w:pPr>
              <w:pStyle w:val="Table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1E4B" w:rsidRPr="002902B6" w14:paraId="3BC8C5DC" w14:textId="77777777" w:rsidTr="006A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  <w:shd w:val="clear" w:color="auto" w:fill="auto"/>
          </w:tcPr>
          <w:p w14:paraId="0F5D7A58" w14:textId="6D00D17B" w:rsidR="00204EF7" w:rsidRPr="002902B6" w:rsidRDefault="000A0A4A" w:rsidP="00CC02F5">
            <w:pPr>
              <w:pStyle w:val="Tableheading2"/>
              <w:rPr>
                <w:b w:val="0"/>
                <w:bCs w:val="0"/>
              </w:rPr>
            </w:pPr>
            <w:r w:rsidRPr="00CC02F5">
              <w:rPr>
                <w:b w:val="0"/>
                <w:bCs w:val="0"/>
              </w:rPr>
              <w:t>Collaboration &amp; Engagement with Stakeholders</w:t>
            </w:r>
          </w:p>
        </w:tc>
        <w:tc>
          <w:tcPr>
            <w:tcW w:w="1005" w:type="dxa"/>
            <w:shd w:val="clear" w:color="auto" w:fill="auto"/>
          </w:tcPr>
          <w:p w14:paraId="102B28C9" w14:textId="0107CE8F" w:rsidR="00204EF7" w:rsidRPr="002902B6" w:rsidRDefault="00871482" w:rsidP="0051052A">
            <w:pPr>
              <w:spacing w:before="60" w:after="60" w:line="360" w:lineRule="auto"/>
              <w:ind w:right="3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5406" w:type="dxa"/>
            <w:shd w:val="clear" w:color="auto" w:fill="auto"/>
          </w:tcPr>
          <w:p w14:paraId="1E86B211" w14:textId="7CC91132" w:rsidR="00614217" w:rsidRPr="00614217" w:rsidRDefault="00614217" w:rsidP="0061421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217">
              <w:t>Builds and maintains relationships with individuals from other work groups to accomplish shared goals</w:t>
            </w:r>
            <w:r>
              <w:t>.</w:t>
            </w:r>
          </w:p>
          <w:p w14:paraId="62C85DF1" w14:textId="48A5A094" w:rsidR="002E2E04" w:rsidRPr="002902B6" w:rsidRDefault="00614217" w:rsidP="0061421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217">
              <w:t>Adapts approach to meet the needs of a broad range of customers and stakeholders</w:t>
            </w:r>
            <w:r>
              <w:t>.</w:t>
            </w:r>
          </w:p>
        </w:tc>
      </w:tr>
      <w:tr w:rsidR="00E6135F" w:rsidRPr="002902B6" w14:paraId="36FF065A" w14:textId="77777777" w:rsidTr="006A7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dxa"/>
          </w:tcPr>
          <w:p w14:paraId="205B6490" w14:textId="0A31065A" w:rsidR="00204EF7" w:rsidRPr="005E481B" w:rsidRDefault="005804D3" w:rsidP="00A22236">
            <w:pPr>
              <w:spacing w:before="60" w:after="60" w:line="360" w:lineRule="auto"/>
              <w:ind w:right="390"/>
              <w:rPr>
                <w:rFonts w:ascii="Century Gothic" w:hAnsi="Century Gothic"/>
                <w:b w:val="0"/>
                <w:bCs w:val="0"/>
                <w:color w:val="4472C4" w:themeColor="accent1"/>
                <w:kern w:val="0"/>
                <w:sz w:val="20"/>
                <w:szCs w:val="20"/>
                <w14:ligatures w14:val="none"/>
              </w:rPr>
            </w:pPr>
            <w:r w:rsidRPr="005E481B">
              <w:rPr>
                <w:rFonts w:ascii="Century Gothic" w:hAnsi="Century Gothic"/>
                <w:b w:val="0"/>
                <w:bCs w:val="0"/>
                <w:color w:val="4472C4" w:themeColor="accent1"/>
                <w:kern w:val="0"/>
                <w:sz w:val="20"/>
                <w:szCs w:val="20"/>
                <w14:ligatures w14:val="none"/>
              </w:rPr>
              <w:t xml:space="preserve">Partnering &amp; Advice </w:t>
            </w:r>
          </w:p>
        </w:tc>
        <w:tc>
          <w:tcPr>
            <w:tcW w:w="1005" w:type="dxa"/>
          </w:tcPr>
          <w:p w14:paraId="6D2DA168" w14:textId="35CCE0DF" w:rsidR="00204EF7" w:rsidRPr="002902B6" w:rsidRDefault="00764A30" w:rsidP="0051052A">
            <w:pPr>
              <w:spacing w:before="60" w:after="60" w:line="360" w:lineRule="auto"/>
              <w:ind w:right="3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5406" w:type="dxa"/>
          </w:tcPr>
          <w:p w14:paraId="54761DDA" w14:textId="77777777" w:rsidR="00764A30" w:rsidRPr="00764A30" w:rsidRDefault="00764A30" w:rsidP="00764A3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64A30">
              <w:t xml:space="preserve">Consider broader purpose and the long-term context of the customer when providing </w:t>
            </w:r>
            <w:proofErr w:type="gramStart"/>
            <w:r w:rsidRPr="00764A30">
              <w:t>advice</w:t>
            </w:r>
            <w:proofErr w:type="gramEnd"/>
            <w:r w:rsidRPr="00764A30">
              <w:t xml:space="preserve"> </w:t>
            </w:r>
          </w:p>
          <w:p w14:paraId="5264153A" w14:textId="77777777" w:rsidR="00764A30" w:rsidRPr="00764A30" w:rsidRDefault="00764A30" w:rsidP="00764A3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764A30">
              <w:t xml:space="preserve">Provides sophisticated and value adding insights for </w:t>
            </w:r>
            <w:proofErr w:type="gramStart"/>
            <w:r w:rsidRPr="00764A30">
              <w:t>customers</w:t>
            </w:r>
            <w:proofErr w:type="gramEnd"/>
          </w:p>
          <w:p w14:paraId="0A95FC5C" w14:textId="3988F11E" w:rsidR="00764A30" w:rsidRPr="002902B6" w:rsidRDefault="00764A30" w:rsidP="00F51236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A30">
              <w:t xml:space="preserve">Assists customers to explore new ideas and to navigate the road ahead </w:t>
            </w:r>
          </w:p>
        </w:tc>
      </w:tr>
    </w:tbl>
    <w:p w14:paraId="29F798A7" w14:textId="77777777" w:rsidR="00204EF7" w:rsidRPr="002902B6" w:rsidRDefault="00204EF7" w:rsidP="00A22236">
      <w:pPr>
        <w:spacing w:after="120" w:line="360" w:lineRule="auto"/>
        <w:ind w:right="390"/>
        <w:rPr>
          <w:rFonts w:ascii="Century Gothic" w:hAnsi="Century Gothic"/>
          <w:sz w:val="20"/>
          <w:szCs w:val="20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385"/>
        <w:gridCol w:w="946"/>
        <w:gridCol w:w="5415"/>
      </w:tblGrid>
      <w:tr w:rsidR="00897DE7" w:rsidRPr="002902B6" w14:paraId="717423AB" w14:textId="77777777" w:rsidTr="00DD2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</w:tcPr>
          <w:p w14:paraId="317EEBD8" w14:textId="0188DE97" w:rsidR="00204EF7" w:rsidRPr="002902B6" w:rsidRDefault="00204EF7" w:rsidP="00B2562B">
            <w:pPr>
              <w:pStyle w:val="Tableheading2"/>
            </w:pPr>
            <w:r w:rsidRPr="002902B6">
              <w:t>Business</w:t>
            </w:r>
          </w:p>
        </w:tc>
        <w:tc>
          <w:tcPr>
            <w:tcW w:w="946" w:type="dxa"/>
          </w:tcPr>
          <w:p w14:paraId="6D2A7F7A" w14:textId="77777777" w:rsidR="00204EF7" w:rsidRPr="002902B6" w:rsidRDefault="00204EF7" w:rsidP="00CA4DD0">
            <w:pPr>
              <w:pStyle w:val="Table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02B6">
              <w:t>Level</w:t>
            </w:r>
          </w:p>
        </w:tc>
        <w:tc>
          <w:tcPr>
            <w:tcW w:w="5415" w:type="dxa"/>
          </w:tcPr>
          <w:p w14:paraId="12696C80" w14:textId="77777777" w:rsidR="00204EF7" w:rsidRPr="002902B6" w:rsidRDefault="00204EF7" w:rsidP="00A22236">
            <w:pPr>
              <w:spacing w:before="60" w:after="60" w:line="360" w:lineRule="auto"/>
              <w:ind w:right="3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BDB" w:rsidRPr="002902B6" w14:paraId="250447BF" w14:textId="77777777" w:rsidTr="00E1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</w:tcPr>
          <w:p w14:paraId="0ABFCAC0" w14:textId="4EA2A15A" w:rsidR="00204EF7" w:rsidRPr="00CA4DD0" w:rsidRDefault="000F4FCA" w:rsidP="00CA4DD0">
            <w:pPr>
              <w:pStyle w:val="Tableheading2"/>
              <w:rPr>
                <w:b w:val="0"/>
                <w:bCs w:val="0"/>
              </w:rPr>
            </w:pPr>
            <w:r w:rsidRPr="000F4FCA">
              <w:rPr>
                <w:b w:val="0"/>
                <w:bCs w:val="0"/>
              </w:rPr>
              <w:t>Analysis and Problem Solving</w:t>
            </w:r>
          </w:p>
        </w:tc>
        <w:tc>
          <w:tcPr>
            <w:tcW w:w="0" w:type="dxa"/>
            <w:shd w:val="clear" w:color="auto" w:fill="auto"/>
          </w:tcPr>
          <w:p w14:paraId="7AD1D022" w14:textId="750E7EA3" w:rsidR="00204EF7" w:rsidRPr="002902B6" w:rsidRDefault="00677E59" w:rsidP="00CA4DD0">
            <w:pPr>
              <w:spacing w:before="60" w:after="60" w:line="360" w:lineRule="auto"/>
              <w:ind w:right="3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0" w:type="dxa"/>
            <w:shd w:val="clear" w:color="auto" w:fill="auto"/>
          </w:tcPr>
          <w:p w14:paraId="696CFDFB" w14:textId="0F491343" w:rsidR="00677E59" w:rsidRPr="00677E59" w:rsidRDefault="00677E59" w:rsidP="00677E59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ind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77E59">
              <w:rPr>
                <w:rFonts w:ascii="Century Gothic" w:hAnsi="Century Gothic"/>
                <w:sz w:val="20"/>
                <w:szCs w:val="20"/>
                <w:lang w:val="en-US"/>
              </w:rPr>
              <w:t>Defines the extent and cause of the problem through observation and investigation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14:paraId="155864E5" w14:textId="77777777" w:rsidR="00677E59" w:rsidRPr="00677E59" w:rsidRDefault="00677E59" w:rsidP="00677E59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ind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77E59">
              <w:rPr>
                <w:rFonts w:ascii="Century Gothic" w:hAnsi="Century Gothic"/>
                <w:sz w:val="20"/>
                <w:szCs w:val="20"/>
                <w:lang w:val="en-US"/>
              </w:rPr>
              <w:t>Knows when and how to source and use additional information to effectively diagnose the problem and determine suitable solutions.</w:t>
            </w:r>
          </w:p>
          <w:p w14:paraId="7B236F71" w14:textId="5EB98C52" w:rsidR="00677E59" w:rsidRPr="00677E59" w:rsidRDefault="00677E59" w:rsidP="00677E59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ind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77E59">
              <w:rPr>
                <w:rFonts w:ascii="Century Gothic" w:hAnsi="Century Gothic"/>
                <w:sz w:val="20"/>
                <w:szCs w:val="20"/>
                <w:lang w:val="en-US"/>
              </w:rPr>
              <w:t>Considers all possible solutions and seeks input from subject matter experts where appropriate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14:paraId="5E2AA4E2" w14:textId="0F3E290D" w:rsidR="00204EF7" w:rsidRPr="009F1A9A" w:rsidRDefault="00677E59" w:rsidP="00677E59">
            <w:pPr>
              <w:pStyle w:val="ListParagraph"/>
              <w:numPr>
                <w:ilvl w:val="0"/>
                <w:numId w:val="9"/>
              </w:numPr>
              <w:spacing w:before="60" w:after="60" w:line="360" w:lineRule="auto"/>
              <w:ind w:right="3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77E59">
              <w:rPr>
                <w:rFonts w:ascii="Century Gothic" w:hAnsi="Century Gothic"/>
                <w:sz w:val="20"/>
                <w:szCs w:val="20"/>
                <w:lang w:val="en-US"/>
              </w:rPr>
              <w:t>Takes necessary action to implement the identified solution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</w:tc>
      </w:tr>
      <w:tr w:rsidR="00897DE7" w:rsidRPr="002902B6" w14:paraId="2ED528CA" w14:textId="77777777" w:rsidTr="00DD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</w:tcPr>
          <w:p w14:paraId="30413577" w14:textId="2A98DE0A" w:rsidR="00204EF7" w:rsidRPr="00CA4DD0" w:rsidRDefault="003F4592" w:rsidP="00CA4DD0">
            <w:pPr>
              <w:pStyle w:val="Tableheading2"/>
              <w:rPr>
                <w:b w:val="0"/>
                <w:bCs w:val="0"/>
              </w:rPr>
            </w:pPr>
            <w:r w:rsidRPr="00CA4DD0">
              <w:rPr>
                <w:b w:val="0"/>
                <w:bCs w:val="0"/>
              </w:rPr>
              <w:lastRenderedPageBreak/>
              <w:t>Continuous Improvement</w:t>
            </w:r>
          </w:p>
        </w:tc>
        <w:tc>
          <w:tcPr>
            <w:tcW w:w="946" w:type="dxa"/>
          </w:tcPr>
          <w:p w14:paraId="50ACF038" w14:textId="503683BC" w:rsidR="00204EF7" w:rsidRPr="002902B6" w:rsidRDefault="0061451D" w:rsidP="00CA4DD0">
            <w:pPr>
              <w:spacing w:before="60" w:after="60" w:line="360" w:lineRule="auto"/>
              <w:ind w:right="39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</w:p>
        </w:tc>
        <w:tc>
          <w:tcPr>
            <w:tcW w:w="5415" w:type="dxa"/>
          </w:tcPr>
          <w:p w14:paraId="026F41DD" w14:textId="3CACBEAB" w:rsidR="0061451D" w:rsidRPr="0061451D" w:rsidRDefault="0061451D" w:rsidP="0061451D">
            <w:pPr>
              <w:pStyle w:val="ListParagraph"/>
              <w:numPr>
                <w:ilvl w:val="0"/>
                <w:numId w:val="10"/>
              </w:numPr>
              <w:spacing w:before="60" w:after="60" w:line="360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1451D">
              <w:rPr>
                <w:rFonts w:ascii="Century Gothic" w:hAnsi="Century Gothic"/>
                <w:sz w:val="20"/>
                <w:szCs w:val="20"/>
                <w:lang w:val="en-US"/>
              </w:rPr>
              <w:t xml:space="preserve">Manages expectations and accepts accountability for deadlines, </w:t>
            </w:r>
            <w:proofErr w:type="gramStart"/>
            <w:r w:rsidRPr="0061451D">
              <w:rPr>
                <w:rFonts w:ascii="Century Gothic" w:hAnsi="Century Gothic"/>
                <w:sz w:val="20"/>
                <w:szCs w:val="20"/>
                <w:lang w:val="en-US"/>
              </w:rPr>
              <w:t>budget</w:t>
            </w:r>
            <w:proofErr w:type="gramEnd"/>
            <w:r w:rsidRPr="0061451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and outcomes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14:paraId="013E6FAA" w14:textId="4A1B88F4" w:rsidR="0061451D" w:rsidRPr="0061451D" w:rsidRDefault="0061451D" w:rsidP="0061451D">
            <w:pPr>
              <w:pStyle w:val="ListParagraph"/>
              <w:numPr>
                <w:ilvl w:val="0"/>
                <w:numId w:val="10"/>
              </w:numPr>
              <w:spacing w:before="60" w:after="60" w:line="360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1451D">
              <w:rPr>
                <w:rFonts w:ascii="Century Gothic" w:hAnsi="Century Gothic"/>
                <w:sz w:val="20"/>
                <w:szCs w:val="20"/>
                <w:lang w:val="en-US"/>
              </w:rPr>
              <w:t>Delivers consistently to plans and focuses on the achievement of results despite obstacles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14:paraId="534E7EF6" w14:textId="77777777" w:rsidR="0061451D" w:rsidRPr="0061451D" w:rsidRDefault="0061451D" w:rsidP="0061451D">
            <w:pPr>
              <w:pStyle w:val="ListParagraph"/>
              <w:numPr>
                <w:ilvl w:val="0"/>
                <w:numId w:val="10"/>
              </w:numPr>
              <w:spacing w:before="60" w:after="60" w:line="360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1451D">
              <w:rPr>
                <w:rFonts w:ascii="Century Gothic" w:hAnsi="Century Gothic"/>
                <w:sz w:val="20"/>
                <w:szCs w:val="20"/>
                <w:lang w:val="en-US"/>
              </w:rPr>
              <w:t xml:space="preserve">Implements quality assurance practices to ensure projects and activities are delivered to required standards.  </w:t>
            </w:r>
          </w:p>
          <w:p w14:paraId="158873F5" w14:textId="1D61C286" w:rsidR="00204EF7" w:rsidRPr="00CA1EFD" w:rsidRDefault="0061451D" w:rsidP="0061451D">
            <w:pPr>
              <w:pStyle w:val="ListParagraph"/>
              <w:numPr>
                <w:ilvl w:val="0"/>
                <w:numId w:val="10"/>
              </w:numPr>
              <w:spacing w:before="60" w:after="60" w:line="360" w:lineRule="auto"/>
              <w:ind w:righ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1451D">
              <w:rPr>
                <w:rFonts w:ascii="Century Gothic" w:hAnsi="Century Gothic"/>
                <w:sz w:val="20"/>
                <w:szCs w:val="20"/>
                <w:lang w:val="en-US"/>
              </w:rPr>
              <w:t>Initiates action without prompting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</w:tc>
      </w:tr>
    </w:tbl>
    <w:p w14:paraId="1848FD39" w14:textId="77777777" w:rsidR="00F51236" w:rsidRDefault="00F51236" w:rsidP="000A0F32">
      <w:pPr>
        <w:spacing w:before="60" w:after="60" w:line="360" w:lineRule="auto"/>
        <w:ind w:right="390"/>
        <w:rPr>
          <w:rFonts w:ascii="Century Gothic" w:hAnsi="Century Gothic"/>
          <w:b/>
          <w:bCs/>
          <w:color w:val="0070C0"/>
        </w:rPr>
      </w:pPr>
    </w:p>
    <w:p w14:paraId="49BECE3C" w14:textId="5596E12A" w:rsidR="008C5832" w:rsidRDefault="008C5832" w:rsidP="000A0F32">
      <w:pPr>
        <w:spacing w:before="60" w:after="60" w:line="360" w:lineRule="auto"/>
        <w:ind w:right="390"/>
        <w:rPr>
          <w:rFonts w:ascii="Century Gothic" w:hAnsi="Century Gothic"/>
          <w:b/>
          <w:bCs/>
          <w:color w:val="0070C0"/>
        </w:rPr>
      </w:pPr>
      <w:r w:rsidRPr="00801270">
        <w:rPr>
          <w:rFonts w:ascii="Century Gothic" w:hAnsi="Century Gothic"/>
          <w:b/>
          <w:bCs/>
          <w:color w:val="0070C0"/>
        </w:rPr>
        <w:t>Mandatory Candidate Requirements</w:t>
      </w:r>
    </w:p>
    <w:p w14:paraId="6E40E898" w14:textId="77777777" w:rsidR="00DB5ABA" w:rsidRDefault="00DB5ABA" w:rsidP="000A0F32">
      <w:pPr>
        <w:spacing w:before="60" w:after="60" w:line="360" w:lineRule="auto"/>
        <w:ind w:right="390"/>
        <w:rPr>
          <w:rFonts w:ascii="Century Gothic" w:hAnsi="Century Gothic"/>
          <w:b/>
          <w:bCs/>
          <w:sz w:val="20"/>
          <w:szCs w:val="20"/>
        </w:rPr>
      </w:pPr>
    </w:p>
    <w:p w14:paraId="4983D43F" w14:textId="35508D13" w:rsidR="00DB5ABA" w:rsidRPr="00801270" w:rsidRDefault="00DB5ABA" w:rsidP="000A0F32">
      <w:pPr>
        <w:spacing w:before="60" w:after="60" w:line="360" w:lineRule="auto"/>
        <w:ind w:right="390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sz w:val="20"/>
          <w:szCs w:val="20"/>
        </w:rPr>
        <w:t>Qualifications:</w:t>
      </w:r>
    </w:p>
    <w:p w14:paraId="425CBE3D" w14:textId="0EA38EFC" w:rsidR="00080556" w:rsidRDefault="00550BC7" w:rsidP="000A0F32">
      <w:pPr>
        <w:widowControl w:val="0"/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60" w:after="60" w:line="360" w:lineRule="auto"/>
        <w:ind w:right="390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2902B6">
        <w:rPr>
          <w:rFonts w:ascii="Century Gothic" w:hAnsi="Century Gothic" w:cs="Arial"/>
          <w:spacing w:val="-1"/>
          <w:sz w:val="20"/>
          <w:szCs w:val="20"/>
        </w:rPr>
        <w:t xml:space="preserve">Tertiary </w:t>
      </w:r>
      <w:r w:rsidR="00052620" w:rsidRPr="002902B6">
        <w:rPr>
          <w:rFonts w:ascii="Century Gothic" w:hAnsi="Century Gothic" w:cs="Arial"/>
          <w:spacing w:val="-1"/>
          <w:sz w:val="20"/>
          <w:szCs w:val="20"/>
        </w:rPr>
        <w:t xml:space="preserve">qualifications </w:t>
      </w:r>
      <w:r w:rsidR="00080556" w:rsidRPr="002902B6">
        <w:rPr>
          <w:rFonts w:ascii="Century Gothic" w:hAnsi="Century Gothic" w:cs="Arial"/>
          <w:spacing w:val="-1"/>
          <w:sz w:val="20"/>
          <w:szCs w:val="20"/>
        </w:rPr>
        <w:t>in</w:t>
      </w:r>
      <w:r w:rsidR="00080556" w:rsidRPr="002902B6">
        <w:rPr>
          <w:rFonts w:ascii="Century Gothic" w:hAnsi="Century Gothic" w:cs="Arial"/>
          <w:sz w:val="20"/>
          <w:szCs w:val="20"/>
        </w:rPr>
        <w:t xml:space="preserve"> </w:t>
      </w:r>
      <w:r w:rsidR="007D3938">
        <w:rPr>
          <w:rFonts w:ascii="Century Gothic" w:hAnsi="Century Gothic" w:cs="Arial"/>
          <w:spacing w:val="-1"/>
          <w:sz w:val="20"/>
          <w:szCs w:val="20"/>
        </w:rPr>
        <w:t>Environmental Planning</w:t>
      </w:r>
      <w:r w:rsidR="001E6971">
        <w:rPr>
          <w:rFonts w:ascii="Century Gothic" w:hAnsi="Century Gothic" w:cs="Arial"/>
          <w:spacing w:val="-1"/>
          <w:sz w:val="20"/>
          <w:szCs w:val="20"/>
        </w:rPr>
        <w:t xml:space="preserve">, </w:t>
      </w:r>
      <w:r w:rsidR="002B286C">
        <w:rPr>
          <w:rFonts w:ascii="Century Gothic" w:hAnsi="Century Gothic" w:cs="Arial"/>
          <w:spacing w:val="-1"/>
          <w:sz w:val="20"/>
          <w:szCs w:val="20"/>
        </w:rPr>
        <w:t>Engineering</w:t>
      </w:r>
      <w:r w:rsidR="001E6971">
        <w:rPr>
          <w:rFonts w:ascii="Century Gothic" w:hAnsi="Century Gothic" w:cs="Arial"/>
          <w:spacing w:val="-1"/>
          <w:sz w:val="20"/>
          <w:szCs w:val="20"/>
        </w:rPr>
        <w:t>,</w:t>
      </w:r>
      <w:r w:rsidR="004C3504">
        <w:rPr>
          <w:rFonts w:ascii="Century Gothic" w:hAnsi="Century Gothic" w:cs="Arial"/>
          <w:spacing w:val="-1"/>
          <w:sz w:val="20"/>
          <w:szCs w:val="20"/>
        </w:rPr>
        <w:t xml:space="preserve"> </w:t>
      </w:r>
      <w:r w:rsidR="007D3938">
        <w:rPr>
          <w:rFonts w:ascii="Century Gothic" w:hAnsi="Century Gothic" w:cs="Arial"/>
          <w:spacing w:val="-1"/>
          <w:sz w:val="20"/>
          <w:szCs w:val="20"/>
        </w:rPr>
        <w:t>Science</w:t>
      </w:r>
      <w:r w:rsidR="001E6971">
        <w:rPr>
          <w:rFonts w:ascii="Century Gothic" w:hAnsi="Century Gothic" w:cs="Arial"/>
          <w:spacing w:val="-1"/>
          <w:sz w:val="20"/>
          <w:szCs w:val="20"/>
        </w:rPr>
        <w:t>,</w:t>
      </w:r>
      <w:r w:rsidR="004C3504">
        <w:rPr>
          <w:rFonts w:ascii="Century Gothic" w:hAnsi="Century Gothic" w:cs="Arial"/>
          <w:spacing w:val="-1"/>
          <w:sz w:val="20"/>
          <w:szCs w:val="20"/>
        </w:rPr>
        <w:t xml:space="preserve"> </w:t>
      </w:r>
      <w:r w:rsidR="007D3938">
        <w:rPr>
          <w:rFonts w:ascii="Century Gothic" w:hAnsi="Century Gothic" w:cs="Arial"/>
          <w:spacing w:val="-1"/>
          <w:sz w:val="20"/>
          <w:szCs w:val="20"/>
        </w:rPr>
        <w:t>Management</w:t>
      </w:r>
      <w:r w:rsidR="001E6971">
        <w:rPr>
          <w:rFonts w:ascii="Century Gothic" w:hAnsi="Century Gothic" w:cs="Arial"/>
          <w:spacing w:val="-1"/>
          <w:sz w:val="20"/>
          <w:szCs w:val="20"/>
        </w:rPr>
        <w:t xml:space="preserve">, </w:t>
      </w:r>
      <w:proofErr w:type="gramStart"/>
      <w:r w:rsidR="0014422A">
        <w:rPr>
          <w:rFonts w:ascii="Century Gothic" w:hAnsi="Century Gothic" w:cs="Arial"/>
          <w:spacing w:val="-1"/>
          <w:sz w:val="20"/>
          <w:szCs w:val="20"/>
        </w:rPr>
        <w:t>Law</w:t>
      </w:r>
      <w:proofErr w:type="gramEnd"/>
      <w:r w:rsidR="003A66ED">
        <w:rPr>
          <w:rFonts w:ascii="Century Gothic" w:hAnsi="Century Gothic" w:cs="Arial"/>
          <w:spacing w:val="-1"/>
          <w:sz w:val="20"/>
          <w:szCs w:val="20"/>
        </w:rPr>
        <w:t xml:space="preserve"> </w:t>
      </w:r>
      <w:r w:rsidR="00080556" w:rsidRPr="002902B6">
        <w:rPr>
          <w:rFonts w:ascii="Century Gothic" w:hAnsi="Century Gothic" w:cs="Arial"/>
          <w:spacing w:val="-2"/>
          <w:sz w:val="20"/>
          <w:szCs w:val="20"/>
        </w:rPr>
        <w:t>or</w:t>
      </w:r>
      <w:r w:rsidR="00080556" w:rsidRPr="002902B6">
        <w:rPr>
          <w:rFonts w:ascii="Century Gothic" w:hAnsi="Century Gothic" w:cs="Arial"/>
          <w:spacing w:val="-1"/>
          <w:sz w:val="20"/>
          <w:szCs w:val="20"/>
        </w:rPr>
        <w:t xml:space="preserve"> </w:t>
      </w:r>
      <w:r w:rsidR="00120CE9" w:rsidRPr="002902B6">
        <w:rPr>
          <w:rFonts w:ascii="Century Gothic" w:hAnsi="Century Gothic" w:cs="Arial"/>
          <w:spacing w:val="-1"/>
          <w:sz w:val="20"/>
          <w:szCs w:val="20"/>
        </w:rPr>
        <w:t xml:space="preserve">other </w:t>
      </w:r>
      <w:r w:rsidR="00080556" w:rsidRPr="002902B6">
        <w:rPr>
          <w:rFonts w:ascii="Century Gothic" w:hAnsi="Century Gothic" w:cs="Arial"/>
          <w:spacing w:val="-1"/>
          <w:sz w:val="20"/>
          <w:szCs w:val="20"/>
        </w:rPr>
        <w:t>rel</w:t>
      </w:r>
      <w:r w:rsidR="00120CE9" w:rsidRPr="002902B6">
        <w:rPr>
          <w:rFonts w:ascii="Century Gothic" w:hAnsi="Century Gothic" w:cs="Arial"/>
          <w:spacing w:val="-1"/>
          <w:sz w:val="20"/>
          <w:szCs w:val="20"/>
        </w:rPr>
        <w:t>evant</w:t>
      </w:r>
      <w:r w:rsidR="00080556" w:rsidRPr="002902B6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080556" w:rsidRPr="002902B6">
        <w:rPr>
          <w:rFonts w:ascii="Century Gothic" w:hAnsi="Century Gothic" w:cs="Arial"/>
          <w:spacing w:val="-1"/>
          <w:sz w:val="20"/>
          <w:szCs w:val="20"/>
        </w:rPr>
        <w:t>discipline.</w:t>
      </w:r>
    </w:p>
    <w:p w14:paraId="22C9ED27" w14:textId="4DC81869" w:rsidR="00B33D63" w:rsidRDefault="00B33D63" w:rsidP="000A0F32">
      <w:pPr>
        <w:widowControl w:val="0"/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60" w:after="60" w:line="360" w:lineRule="auto"/>
        <w:ind w:right="390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2902B6">
        <w:rPr>
          <w:rFonts w:ascii="Century Gothic" w:hAnsi="Century Gothic" w:cs="Arial"/>
          <w:spacing w:val="-1"/>
          <w:sz w:val="20"/>
          <w:szCs w:val="20"/>
        </w:rPr>
        <w:t xml:space="preserve">Current </w:t>
      </w:r>
      <w:r w:rsidR="00371716">
        <w:rPr>
          <w:rFonts w:ascii="Century Gothic" w:hAnsi="Century Gothic" w:cs="Arial"/>
          <w:spacing w:val="-1"/>
          <w:sz w:val="20"/>
          <w:szCs w:val="20"/>
        </w:rPr>
        <w:t xml:space="preserve">Australian </w:t>
      </w:r>
      <w:r w:rsidRPr="002902B6">
        <w:rPr>
          <w:rFonts w:ascii="Century Gothic" w:hAnsi="Century Gothic" w:cs="Arial"/>
          <w:spacing w:val="-1"/>
          <w:sz w:val="20"/>
          <w:szCs w:val="20"/>
        </w:rPr>
        <w:t>Driver’s Licence.</w:t>
      </w:r>
    </w:p>
    <w:p w14:paraId="1521D6EC" w14:textId="02268534" w:rsidR="00AC5499" w:rsidRPr="00AC5499" w:rsidRDefault="00AC5499" w:rsidP="00AC5499">
      <w:pPr>
        <w:pStyle w:val="ListParagraph"/>
        <w:numPr>
          <w:ilvl w:val="0"/>
          <w:numId w:val="3"/>
        </w:numPr>
        <w:rPr>
          <w:rFonts w:ascii="Century Gothic" w:hAnsi="Century Gothic" w:cs="Arial"/>
          <w:spacing w:val="-1"/>
          <w:sz w:val="20"/>
          <w:szCs w:val="20"/>
        </w:rPr>
      </w:pPr>
      <w:r w:rsidRPr="00AC5499">
        <w:rPr>
          <w:rFonts w:ascii="Century Gothic" w:hAnsi="Century Gothic" w:cs="Arial"/>
          <w:spacing w:val="-1"/>
          <w:sz w:val="20"/>
          <w:szCs w:val="20"/>
        </w:rPr>
        <w:t>Authorised Officer or the ability to become one</w:t>
      </w:r>
      <w:r>
        <w:rPr>
          <w:rFonts w:ascii="Century Gothic" w:hAnsi="Century Gothic" w:cs="Arial"/>
          <w:spacing w:val="-1"/>
          <w:sz w:val="20"/>
          <w:szCs w:val="20"/>
        </w:rPr>
        <w:t>.</w:t>
      </w:r>
    </w:p>
    <w:p w14:paraId="533343EC" w14:textId="77777777" w:rsidR="00F51236" w:rsidRDefault="00F51236" w:rsidP="000A0F32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03ED639" w14:textId="74D8780F" w:rsidR="008C5832" w:rsidRPr="002902B6" w:rsidRDefault="008C5832" w:rsidP="000A0F32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sz w:val="20"/>
          <w:szCs w:val="20"/>
        </w:rPr>
      </w:pPr>
      <w:r w:rsidRPr="002902B6">
        <w:rPr>
          <w:rFonts w:ascii="Century Gothic" w:hAnsi="Century Gothic"/>
          <w:b/>
          <w:bCs/>
          <w:sz w:val="20"/>
          <w:szCs w:val="20"/>
        </w:rPr>
        <w:t>Knowledge:</w:t>
      </w:r>
    </w:p>
    <w:p w14:paraId="3A33DD65" w14:textId="77777777" w:rsidR="00E314FE" w:rsidRDefault="00E314FE" w:rsidP="00B13454">
      <w:pPr>
        <w:widowControl w:val="0"/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60" w:after="60" w:line="360" w:lineRule="auto"/>
        <w:ind w:right="390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E314FE">
        <w:rPr>
          <w:rFonts w:ascii="Century Gothic" w:hAnsi="Century Gothic" w:cs="Arial"/>
          <w:spacing w:val="-1"/>
          <w:sz w:val="20"/>
          <w:szCs w:val="20"/>
        </w:rPr>
        <w:t xml:space="preserve">Extensive knowledge and experience in water quality impact assessment and management, and the related requirements under Part 4 of the </w:t>
      </w:r>
      <w:r w:rsidRPr="00B13454">
        <w:rPr>
          <w:rFonts w:ascii="Century Gothic" w:hAnsi="Century Gothic" w:cs="Arial"/>
          <w:i/>
          <w:iCs/>
          <w:spacing w:val="-1"/>
          <w:sz w:val="20"/>
          <w:szCs w:val="20"/>
        </w:rPr>
        <w:t>Environmental Planning and Assessment Act 1979</w:t>
      </w:r>
      <w:r w:rsidRPr="00E314FE">
        <w:rPr>
          <w:rFonts w:ascii="Century Gothic" w:hAnsi="Century Gothic" w:cs="Arial"/>
          <w:spacing w:val="-1"/>
          <w:sz w:val="20"/>
          <w:szCs w:val="20"/>
        </w:rPr>
        <w:t>.</w:t>
      </w:r>
    </w:p>
    <w:p w14:paraId="0ED15591" w14:textId="7C86E5A4" w:rsidR="006251F5" w:rsidRDefault="00B77DE3" w:rsidP="006251F5">
      <w:pPr>
        <w:widowControl w:val="0"/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60" w:after="60" w:line="360" w:lineRule="auto"/>
        <w:ind w:right="390"/>
        <w:jc w:val="both"/>
        <w:rPr>
          <w:rFonts w:ascii="Century Gothic" w:hAnsi="Century Gothic" w:cs="Arial"/>
          <w:spacing w:val="-1"/>
          <w:sz w:val="20"/>
          <w:szCs w:val="20"/>
        </w:rPr>
      </w:pPr>
      <w:r>
        <w:rPr>
          <w:rFonts w:ascii="Century Gothic" w:hAnsi="Century Gothic" w:cs="Arial"/>
          <w:spacing w:val="-1"/>
          <w:sz w:val="20"/>
          <w:szCs w:val="20"/>
        </w:rPr>
        <w:t>K</w:t>
      </w:r>
      <w:r w:rsidR="006251F5" w:rsidRPr="007F2E79">
        <w:rPr>
          <w:rFonts w:ascii="Century Gothic" w:hAnsi="Century Gothic" w:cs="Arial"/>
          <w:spacing w:val="-1"/>
          <w:sz w:val="20"/>
          <w:szCs w:val="20"/>
        </w:rPr>
        <w:t xml:space="preserve">nowledge of the issues and management responses in the areas of wastewater, stormwater, </w:t>
      </w:r>
      <w:proofErr w:type="gramStart"/>
      <w:r w:rsidR="006251F5" w:rsidRPr="007F2E79">
        <w:rPr>
          <w:rFonts w:ascii="Century Gothic" w:hAnsi="Century Gothic" w:cs="Arial"/>
          <w:spacing w:val="-1"/>
          <w:sz w:val="20"/>
          <w:szCs w:val="20"/>
        </w:rPr>
        <w:t>groundwater</w:t>
      </w:r>
      <w:proofErr w:type="gramEnd"/>
      <w:r w:rsidR="006251F5" w:rsidRPr="007F2E79">
        <w:rPr>
          <w:rFonts w:ascii="Century Gothic" w:hAnsi="Century Gothic" w:cs="Arial"/>
          <w:spacing w:val="-1"/>
          <w:sz w:val="20"/>
          <w:szCs w:val="20"/>
        </w:rPr>
        <w:t xml:space="preserve"> and surface water for activities within drinking water catchment.</w:t>
      </w:r>
    </w:p>
    <w:p w14:paraId="306FAF8E" w14:textId="7843942C" w:rsidR="00E4006D" w:rsidRPr="00E4006D" w:rsidRDefault="00E4006D" w:rsidP="00E4006D">
      <w:pPr>
        <w:pStyle w:val="ListParagraph"/>
        <w:numPr>
          <w:ilvl w:val="0"/>
          <w:numId w:val="3"/>
        </w:numPr>
        <w:rPr>
          <w:rFonts w:ascii="Century Gothic" w:hAnsi="Century Gothic" w:cs="Arial"/>
          <w:spacing w:val="-1"/>
          <w:sz w:val="20"/>
          <w:szCs w:val="20"/>
        </w:rPr>
      </w:pPr>
      <w:r w:rsidRPr="00E4006D">
        <w:rPr>
          <w:rFonts w:ascii="Century Gothic" w:hAnsi="Century Gothic" w:cs="Arial"/>
          <w:spacing w:val="-1"/>
          <w:sz w:val="20"/>
          <w:szCs w:val="20"/>
        </w:rPr>
        <w:t>High level liaison, interpersonal, negotiation and communication skills</w:t>
      </w:r>
      <w:r>
        <w:rPr>
          <w:rFonts w:ascii="Century Gothic" w:hAnsi="Century Gothic" w:cs="Arial"/>
          <w:spacing w:val="-1"/>
          <w:sz w:val="20"/>
          <w:szCs w:val="20"/>
        </w:rPr>
        <w:t>.</w:t>
      </w:r>
    </w:p>
    <w:p w14:paraId="4DDD7FAF" w14:textId="77777777" w:rsidR="00F51236" w:rsidRDefault="00F51236" w:rsidP="000A0F32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D8E0E43" w14:textId="70C1977D" w:rsidR="00FB089F" w:rsidRDefault="00FB089F" w:rsidP="000A0F32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sz w:val="20"/>
          <w:szCs w:val="20"/>
        </w:rPr>
        <w:t>E</w:t>
      </w:r>
      <w:r w:rsidR="00287486">
        <w:rPr>
          <w:rFonts w:ascii="Century Gothic" w:hAnsi="Century Gothic"/>
          <w:b/>
          <w:bCs/>
          <w:sz w:val="20"/>
          <w:szCs w:val="20"/>
        </w:rPr>
        <w:t>xperience</w:t>
      </w:r>
      <w:r w:rsidR="00287486" w:rsidRPr="00E127E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D0574B3" w14:textId="17C0ECBC" w:rsidR="00766209" w:rsidRDefault="00766209" w:rsidP="00FB089F">
      <w:pPr>
        <w:widowControl w:val="0"/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60" w:after="60" w:line="360" w:lineRule="auto"/>
        <w:ind w:right="390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E127ED">
        <w:rPr>
          <w:rFonts w:ascii="Century Gothic" w:hAnsi="Century Gothic" w:cs="Arial"/>
          <w:spacing w:val="-1"/>
          <w:sz w:val="20"/>
          <w:szCs w:val="20"/>
        </w:rPr>
        <w:t>Extensive</w:t>
      </w:r>
      <w:r w:rsidR="007A2FE6" w:rsidRPr="00E127ED">
        <w:rPr>
          <w:rFonts w:ascii="Century Gothic" w:hAnsi="Century Gothic" w:cs="Arial"/>
          <w:spacing w:val="-1"/>
          <w:sz w:val="20"/>
          <w:szCs w:val="20"/>
        </w:rPr>
        <w:t xml:space="preserve"> experience in the provision</w:t>
      </w:r>
      <w:r w:rsidR="007B328F">
        <w:rPr>
          <w:rFonts w:ascii="Century Gothic" w:hAnsi="Century Gothic" w:cs="Arial"/>
          <w:spacing w:val="-1"/>
          <w:sz w:val="20"/>
          <w:szCs w:val="20"/>
        </w:rPr>
        <w:t xml:space="preserve">, </w:t>
      </w:r>
      <w:proofErr w:type="gramStart"/>
      <w:r w:rsidR="00AC2260">
        <w:rPr>
          <w:rFonts w:ascii="Century Gothic" w:hAnsi="Century Gothic" w:cs="Arial"/>
          <w:spacing w:val="-1"/>
          <w:sz w:val="20"/>
          <w:szCs w:val="20"/>
        </w:rPr>
        <w:t>co-ordination</w:t>
      </w:r>
      <w:proofErr w:type="gramEnd"/>
      <w:r w:rsidR="007B328F">
        <w:rPr>
          <w:rFonts w:ascii="Century Gothic" w:hAnsi="Century Gothic" w:cs="Arial"/>
          <w:spacing w:val="-1"/>
          <w:sz w:val="20"/>
          <w:szCs w:val="20"/>
        </w:rPr>
        <w:t xml:space="preserve"> and review </w:t>
      </w:r>
      <w:r w:rsidR="007A2FE6" w:rsidRPr="00E127ED">
        <w:rPr>
          <w:rFonts w:ascii="Century Gothic" w:hAnsi="Century Gothic" w:cs="Arial"/>
          <w:spacing w:val="-1"/>
          <w:sz w:val="20"/>
          <w:szCs w:val="20"/>
        </w:rPr>
        <w:t xml:space="preserve">of </w:t>
      </w:r>
      <w:r w:rsidR="00D96DD9" w:rsidRPr="00E127ED">
        <w:rPr>
          <w:rFonts w:ascii="Century Gothic" w:hAnsi="Century Gothic" w:cs="Arial"/>
          <w:spacing w:val="-1"/>
          <w:sz w:val="20"/>
          <w:szCs w:val="20"/>
        </w:rPr>
        <w:t xml:space="preserve">expert </w:t>
      </w:r>
      <w:r w:rsidR="007A2FE6" w:rsidRPr="00E127ED">
        <w:rPr>
          <w:rFonts w:ascii="Century Gothic" w:hAnsi="Century Gothic" w:cs="Arial"/>
          <w:spacing w:val="-1"/>
          <w:sz w:val="20"/>
          <w:szCs w:val="20"/>
        </w:rPr>
        <w:t xml:space="preserve">advice </w:t>
      </w:r>
      <w:r w:rsidR="00C72D19">
        <w:rPr>
          <w:rFonts w:ascii="Century Gothic" w:hAnsi="Century Gothic" w:cs="Arial"/>
          <w:spacing w:val="-1"/>
          <w:sz w:val="20"/>
          <w:szCs w:val="20"/>
        </w:rPr>
        <w:t xml:space="preserve">in relation to </w:t>
      </w:r>
      <w:proofErr w:type="spellStart"/>
      <w:r w:rsidR="00B3262D">
        <w:rPr>
          <w:rFonts w:ascii="Century Gothic" w:hAnsi="Century Gothic" w:cs="Arial"/>
          <w:spacing w:val="-1"/>
          <w:sz w:val="20"/>
          <w:szCs w:val="20"/>
        </w:rPr>
        <w:t>WaterNSW’s</w:t>
      </w:r>
      <w:proofErr w:type="spellEnd"/>
      <w:r w:rsidR="00B3262D">
        <w:rPr>
          <w:rFonts w:ascii="Century Gothic" w:hAnsi="Century Gothic" w:cs="Arial"/>
          <w:spacing w:val="-1"/>
          <w:sz w:val="20"/>
          <w:szCs w:val="20"/>
        </w:rPr>
        <w:t xml:space="preserve"> regulatory authority role</w:t>
      </w:r>
      <w:r w:rsidR="00841F36">
        <w:rPr>
          <w:rFonts w:ascii="Century Gothic" w:hAnsi="Century Gothic" w:cs="Arial"/>
          <w:spacing w:val="-1"/>
          <w:sz w:val="20"/>
          <w:szCs w:val="20"/>
        </w:rPr>
        <w:t xml:space="preserve"> in the Sydney drinking water catchment.</w:t>
      </w:r>
    </w:p>
    <w:p w14:paraId="40834332" w14:textId="3E728A9B" w:rsidR="00A438C5" w:rsidRPr="00A438C5" w:rsidRDefault="008B4AD4" w:rsidP="00E127ED">
      <w:pPr>
        <w:widowControl w:val="0"/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60" w:after="60" w:line="360" w:lineRule="auto"/>
        <w:ind w:right="390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297A73">
        <w:rPr>
          <w:rFonts w:ascii="Century Gothic" w:hAnsi="Century Gothic" w:cs="Arial"/>
          <w:spacing w:val="-1"/>
          <w:sz w:val="20"/>
          <w:szCs w:val="20"/>
        </w:rPr>
        <w:t xml:space="preserve">Extensive experience in </w:t>
      </w:r>
      <w:r>
        <w:rPr>
          <w:rFonts w:ascii="Century Gothic" w:hAnsi="Century Gothic" w:cs="Arial"/>
          <w:spacing w:val="-1"/>
          <w:sz w:val="20"/>
          <w:szCs w:val="20"/>
        </w:rPr>
        <w:t>m</w:t>
      </w:r>
      <w:r w:rsidR="00A438C5" w:rsidRPr="00A438C5">
        <w:rPr>
          <w:rFonts w:ascii="Century Gothic" w:hAnsi="Century Gothic" w:cs="Arial"/>
          <w:spacing w:val="-1"/>
          <w:sz w:val="20"/>
          <w:szCs w:val="20"/>
        </w:rPr>
        <w:t xml:space="preserve">anaging the assessment process to meet complex timeframes, regulatory </w:t>
      </w:r>
      <w:proofErr w:type="gramStart"/>
      <w:r w:rsidR="00A438C5" w:rsidRPr="00A438C5">
        <w:rPr>
          <w:rFonts w:ascii="Century Gothic" w:hAnsi="Century Gothic" w:cs="Arial"/>
          <w:spacing w:val="-1"/>
          <w:sz w:val="20"/>
          <w:szCs w:val="20"/>
        </w:rPr>
        <w:t>environment</w:t>
      </w:r>
      <w:proofErr w:type="gramEnd"/>
      <w:r w:rsidR="00A438C5" w:rsidRPr="00A438C5">
        <w:rPr>
          <w:rFonts w:ascii="Century Gothic" w:hAnsi="Century Gothic" w:cs="Arial"/>
          <w:spacing w:val="-1"/>
          <w:sz w:val="20"/>
          <w:szCs w:val="20"/>
        </w:rPr>
        <w:t xml:space="preserve"> and quality requirements. </w:t>
      </w:r>
    </w:p>
    <w:p w14:paraId="2F8E6870" w14:textId="0B0013D4" w:rsidR="00FB089F" w:rsidRPr="00E127ED" w:rsidRDefault="00FB089F" w:rsidP="00FB089F">
      <w:pPr>
        <w:widowControl w:val="0"/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60" w:after="60" w:line="360" w:lineRule="auto"/>
        <w:ind w:right="390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E127ED">
        <w:rPr>
          <w:rFonts w:ascii="Century Gothic" w:hAnsi="Century Gothic" w:cs="Arial"/>
          <w:spacing w:val="-1"/>
          <w:sz w:val="20"/>
          <w:szCs w:val="20"/>
        </w:rPr>
        <w:t xml:space="preserve">Experience </w:t>
      </w:r>
      <w:r w:rsidRPr="00B206B1">
        <w:rPr>
          <w:rFonts w:ascii="Century Gothic" w:hAnsi="Century Gothic" w:cs="Arial"/>
          <w:spacing w:val="-1"/>
          <w:sz w:val="20"/>
          <w:szCs w:val="20"/>
        </w:rPr>
        <w:t>providing</w:t>
      </w:r>
      <w:r w:rsidRPr="00E127ED">
        <w:rPr>
          <w:rFonts w:ascii="Century Gothic" w:hAnsi="Century Gothic" w:cs="Arial"/>
          <w:spacing w:val="-1"/>
          <w:sz w:val="20"/>
          <w:szCs w:val="20"/>
        </w:rPr>
        <w:t xml:space="preserve"> technical leadership and coaching to a small team.</w:t>
      </w:r>
    </w:p>
    <w:p w14:paraId="30FD0479" w14:textId="77777777" w:rsidR="00F51236" w:rsidRDefault="00F51236" w:rsidP="000A0F32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color w:val="0070C0"/>
        </w:rPr>
      </w:pPr>
    </w:p>
    <w:p w14:paraId="20AA2E10" w14:textId="45783E5B" w:rsidR="008C5832" w:rsidRPr="00801270" w:rsidRDefault="008C5832" w:rsidP="000A0F32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color w:val="0070C0"/>
        </w:rPr>
      </w:pPr>
      <w:r w:rsidRPr="00801270">
        <w:rPr>
          <w:rFonts w:ascii="Century Gothic" w:hAnsi="Century Gothic"/>
          <w:b/>
          <w:bCs/>
          <w:color w:val="0070C0"/>
        </w:rPr>
        <w:t>Favourable Candidate Requirements</w:t>
      </w:r>
    </w:p>
    <w:p w14:paraId="77CC53F6" w14:textId="77777777" w:rsidR="004C181F" w:rsidRPr="007F2E79" w:rsidRDefault="004C181F" w:rsidP="004C181F">
      <w:pPr>
        <w:widowControl w:val="0"/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60" w:after="60" w:line="360" w:lineRule="auto"/>
        <w:ind w:right="390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7F2E79">
        <w:rPr>
          <w:rFonts w:ascii="Century Gothic" w:hAnsi="Century Gothic" w:cs="Arial"/>
          <w:spacing w:val="-1"/>
          <w:sz w:val="20"/>
          <w:szCs w:val="20"/>
        </w:rPr>
        <w:t xml:space="preserve">Experience in the application of </w:t>
      </w:r>
      <w:r w:rsidRPr="0028251F">
        <w:rPr>
          <w:rFonts w:ascii="Century Gothic" w:hAnsi="Century Gothic" w:cs="Arial"/>
          <w:spacing w:val="-1"/>
          <w:sz w:val="20"/>
          <w:szCs w:val="20"/>
        </w:rPr>
        <w:t>State Environmental Planning Policy (Biodiversity and Conservation) 2021</w:t>
      </w:r>
      <w:r w:rsidRPr="007F2E79">
        <w:rPr>
          <w:rFonts w:ascii="Century Gothic" w:hAnsi="Century Gothic" w:cs="Arial"/>
          <w:spacing w:val="-1"/>
          <w:sz w:val="20"/>
          <w:szCs w:val="20"/>
        </w:rPr>
        <w:t>.</w:t>
      </w:r>
    </w:p>
    <w:p w14:paraId="7F642872" w14:textId="2DFAA8E9" w:rsidR="000246A7" w:rsidRPr="000246A7" w:rsidRDefault="000246A7" w:rsidP="000246A7">
      <w:pPr>
        <w:widowControl w:val="0"/>
        <w:numPr>
          <w:ilvl w:val="0"/>
          <w:numId w:val="3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60" w:after="60" w:line="360" w:lineRule="auto"/>
        <w:ind w:right="390"/>
        <w:jc w:val="both"/>
        <w:rPr>
          <w:rFonts w:ascii="Century Gothic" w:hAnsi="Century Gothic" w:cs="Arial"/>
          <w:spacing w:val="-1"/>
          <w:sz w:val="20"/>
          <w:szCs w:val="20"/>
        </w:rPr>
      </w:pPr>
      <w:r w:rsidRPr="000246A7">
        <w:rPr>
          <w:rFonts w:ascii="Century Gothic" w:hAnsi="Century Gothic" w:cs="Arial"/>
          <w:spacing w:val="-1"/>
          <w:sz w:val="20"/>
          <w:szCs w:val="20"/>
        </w:rPr>
        <w:t xml:space="preserve">Experience in the preparation and/or assessment of stormwater, wastewater managements, and/or erosion and sediment control plans.  </w:t>
      </w:r>
    </w:p>
    <w:p w14:paraId="4B00512A" w14:textId="77777777" w:rsidR="00F51236" w:rsidRDefault="00F51236" w:rsidP="000A0F32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color w:val="0070C0"/>
        </w:rPr>
      </w:pPr>
    </w:p>
    <w:p w14:paraId="599DCFA1" w14:textId="75A16082" w:rsidR="008C5832" w:rsidRPr="00801270" w:rsidRDefault="008C5832" w:rsidP="000A0F32">
      <w:pPr>
        <w:spacing w:before="60" w:after="60" w:line="360" w:lineRule="auto"/>
        <w:ind w:right="390"/>
        <w:jc w:val="both"/>
        <w:rPr>
          <w:rFonts w:ascii="Century Gothic" w:hAnsi="Century Gothic"/>
          <w:b/>
          <w:bCs/>
          <w:color w:val="0070C0"/>
        </w:rPr>
      </w:pPr>
      <w:r w:rsidRPr="00801270">
        <w:rPr>
          <w:rFonts w:ascii="Century Gothic" w:hAnsi="Century Gothic"/>
          <w:b/>
          <w:bCs/>
          <w:color w:val="0070C0"/>
        </w:rPr>
        <w:t>Pre-Employment Checks Required</w:t>
      </w:r>
    </w:p>
    <w:p w14:paraId="5B105F95" w14:textId="0E7AB900" w:rsidR="008C5832" w:rsidRPr="002902B6" w:rsidRDefault="008C5832" w:rsidP="000A0F32">
      <w:pPr>
        <w:pStyle w:val="ListParagraph"/>
        <w:numPr>
          <w:ilvl w:val="0"/>
          <w:numId w:val="2"/>
        </w:numPr>
        <w:spacing w:before="60" w:after="60" w:line="360" w:lineRule="auto"/>
        <w:ind w:left="833" w:right="391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2902B6">
        <w:rPr>
          <w:rFonts w:ascii="Century Gothic" w:hAnsi="Century Gothic"/>
          <w:sz w:val="20"/>
          <w:szCs w:val="20"/>
        </w:rPr>
        <w:t>Identification</w:t>
      </w:r>
    </w:p>
    <w:p w14:paraId="4F77DA73" w14:textId="48A62BDE" w:rsidR="008C5832" w:rsidRPr="002902B6" w:rsidRDefault="008C5832" w:rsidP="000A0F32">
      <w:pPr>
        <w:pStyle w:val="ListParagraph"/>
        <w:numPr>
          <w:ilvl w:val="0"/>
          <w:numId w:val="2"/>
        </w:numPr>
        <w:spacing w:before="60" w:after="60" w:line="360" w:lineRule="auto"/>
        <w:ind w:left="833" w:right="391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2902B6">
        <w:rPr>
          <w:rFonts w:ascii="Century Gothic" w:hAnsi="Century Gothic"/>
          <w:sz w:val="20"/>
          <w:szCs w:val="20"/>
        </w:rPr>
        <w:t>Qualifications</w:t>
      </w:r>
    </w:p>
    <w:p w14:paraId="22BE9CBC" w14:textId="7CCBB00A" w:rsidR="008C5832" w:rsidRPr="002902B6" w:rsidRDefault="008C5832" w:rsidP="000A0F32">
      <w:pPr>
        <w:pStyle w:val="ListParagraph"/>
        <w:numPr>
          <w:ilvl w:val="0"/>
          <w:numId w:val="2"/>
        </w:numPr>
        <w:spacing w:before="60" w:after="60" w:line="360" w:lineRule="auto"/>
        <w:ind w:left="833" w:right="391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2902B6">
        <w:rPr>
          <w:rFonts w:ascii="Century Gothic" w:hAnsi="Century Gothic"/>
          <w:sz w:val="20"/>
          <w:szCs w:val="20"/>
        </w:rPr>
        <w:t>Driver’s Licence</w:t>
      </w:r>
    </w:p>
    <w:p w14:paraId="3FA47F0B" w14:textId="560D8BA5" w:rsidR="008C5832" w:rsidRPr="002902B6" w:rsidRDefault="008C5832" w:rsidP="000A0F32">
      <w:pPr>
        <w:pStyle w:val="ListParagraph"/>
        <w:numPr>
          <w:ilvl w:val="0"/>
          <w:numId w:val="2"/>
        </w:numPr>
        <w:spacing w:before="60" w:after="60" w:line="360" w:lineRule="auto"/>
        <w:ind w:left="833" w:right="391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2902B6">
        <w:rPr>
          <w:rFonts w:ascii="Century Gothic" w:hAnsi="Century Gothic"/>
          <w:sz w:val="20"/>
          <w:szCs w:val="20"/>
        </w:rPr>
        <w:t xml:space="preserve">Pre-Employment Medical – </w:t>
      </w:r>
      <w:r w:rsidR="00F51236">
        <w:rPr>
          <w:rFonts w:ascii="Century Gothic" w:hAnsi="Century Gothic"/>
          <w:sz w:val="20"/>
          <w:szCs w:val="20"/>
        </w:rPr>
        <w:t>Field</w:t>
      </w:r>
      <w:r w:rsidR="00A528E9">
        <w:rPr>
          <w:rFonts w:ascii="Century Gothic" w:hAnsi="Century Gothic"/>
          <w:sz w:val="20"/>
          <w:szCs w:val="20"/>
        </w:rPr>
        <w:t xml:space="preserve"> </w:t>
      </w:r>
      <w:r w:rsidR="00DB5ABA">
        <w:rPr>
          <w:rFonts w:ascii="Century Gothic" w:hAnsi="Century Gothic"/>
          <w:sz w:val="20"/>
          <w:szCs w:val="20"/>
        </w:rPr>
        <w:t>B</w:t>
      </w:r>
      <w:r w:rsidR="00A528E9">
        <w:rPr>
          <w:rFonts w:ascii="Century Gothic" w:hAnsi="Century Gothic"/>
          <w:sz w:val="20"/>
          <w:szCs w:val="20"/>
        </w:rPr>
        <w:t>ased</w:t>
      </w:r>
    </w:p>
    <w:p w14:paraId="038E7FBD" w14:textId="23073582" w:rsidR="001D20EE" w:rsidRPr="00E06CA0" w:rsidRDefault="008C5832" w:rsidP="00C5062E">
      <w:pPr>
        <w:pStyle w:val="ListParagraph"/>
        <w:numPr>
          <w:ilvl w:val="0"/>
          <w:numId w:val="2"/>
        </w:numPr>
        <w:spacing w:before="60" w:after="60" w:line="360" w:lineRule="auto"/>
        <w:ind w:left="833" w:right="391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E06CA0">
        <w:rPr>
          <w:rFonts w:ascii="Century Gothic" w:hAnsi="Century Gothic"/>
          <w:sz w:val="20"/>
          <w:szCs w:val="20"/>
        </w:rPr>
        <w:t>Police Check</w:t>
      </w:r>
    </w:p>
    <w:sectPr w:rsidR="001D20EE" w:rsidRPr="00E06CA0" w:rsidSect="000427F2">
      <w:head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CDAD" w14:textId="77777777" w:rsidR="00E15505" w:rsidRDefault="00E15505" w:rsidP="000427F2">
      <w:pPr>
        <w:spacing w:after="0" w:line="240" w:lineRule="auto"/>
      </w:pPr>
      <w:r>
        <w:separator/>
      </w:r>
    </w:p>
  </w:endnote>
  <w:endnote w:type="continuationSeparator" w:id="0">
    <w:p w14:paraId="18E74D92" w14:textId="77777777" w:rsidR="00E15505" w:rsidRDefault="00E15505" w:rsidP="0004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18D0" w14:textId="77777777" w:rsidR="00E15505" w:rsidRDefault="00E15505" w:rsidP="000427F2">
      <w:pPr>
        <w:spacing w:after="0" w:line="240" w:lineRule="auto"/>
      </w:pPr>
      <w:r>
        <w:separator/>
      </w:r>
    </w:p>
  </w:footnote>
  <w:footnote w:type="continuationSeparator" w:id="0">
    <w:p w14:paraId="7925BB79" w14:textId="77777777" w:rsidR="00E15505" w:rsidRDefault="00E15505" w:rsidP="0004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8811" w14:textId="7A186D2E" w:rsidR="000427F2" w:rsidRDefault="000427F2">
    <w:pPr>
      <w:pStyle w:val="Header"/>
    </w:pPr>
  </w:p>
  <w:p w14:paraId="6FD05C25" w14:textId="5D872C56" w:rsidR="000427F2" w:rsidRDefault="00042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10C9" w14:textId="162177EC" w:rsidR="000427F2" w:rsidRDefault="00A205F4">
    <w:pPr>
      <w:pStyle w:val="Header"/>
    </w:pPr>
    <w:r w:rsidRPr="001C500D">
      <w:rPr>
        <w:rFonts w:ascii="Century Gothic" w:hAnsi="Century Gothic" w:cstheme="minorHAnsi"/>
        <w:noProof/>
        <w:color w:val="2178B0"/>
        <w:sz w:val="36"/>
        <w:szCs w:val="36"/>
      </w:rPr>
      <w:drawing>
        <wp:anchor distT="0" distB="0" distL="114300" distR="114300" simplePos="0" relativeHeight="251663360" behindDoc="0" locked="0" layoutInCell="1" allowOverlap="1" wp14:anchorId="1D02561A" wp14:editId="032DE962">
          <wp:simplePos x="0" y="0"/>
          <wp:positionH relativeFrom="column">
            <wp:posOffset>4699888</wp:posOffset>
          </wp:positionH>
          <wp:positionV relativeFrom="paragraph">
            <wp:posOffset>-237228</wp:posOffset>
          </wp:positionV>
          <wp:extent cx="1986162" cy="6751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162" cy="67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7F2" w:rsidRPr="001C500D">
      <w:rPr>
        <w:rFonts w:ascii="Century Gothic" w:hAnsi="Century Gothic" w:cstheme="minorHAnsi"/>
        <w:noProof/>
        <w:color w:val="2178B0"/>
        <w:sz w:val="56"/>
        <w:szCs w:val="56"/>
      </w:rPr>
      <w:drawing>
        <wp:anchor distT="0" distB="0" distL="114300" distR="114300" simplePos="0" relativeHeight="251661312" behindDoc="0" locked="0" layoutInCell="1" allowOverlap="1" wp14:anchorId="590E9302" wp14:editId="3428515E">
          <wp:simplePos x="0" y="0"/>
          <wp:positionH relativeFrom="column">
            <wp:posOffset>-2404296</wp:posOffset>
          </wp:positionH>
          <wp:positionV relativeFrom="paragraph">
            <wp:posOffset>1188725</wp:posOffset>
          </wp:positionV>
          <wp:extent cx="10111105" cy="1641475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105" cy="164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38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43" w:hanging="360"/>
      </w:pPr>
    </w:lvl>
    <w:lvl w:ilvl="2">
      <w:numFmt w:val="bullet"/>
      <w:lvlText w:val="•"/>
      <w:lvlJc w:val="left"/>
      <w:pPr>
        <w:ind w:left="2648" w:hanging="360"/>
      </w:pPr>
    </w:lvl>
    <w:lvl w:ilvl="3">
      <w:numFmt w:val="bullet"/>
      <w:lvlText w:val="•"/>
      <w:lvlJc w:val="left"/>
      <w:pPr>
        <w:ind w:left="3553" w:hanging="360"/>
      </w:pPr>
    </w:lvl>
    <w:lvl w:ilvl="4">
      <w:numFmt w:val="bullet"/>
      <w:lvlText w:val="•"/>
      <w:lvlJc w:val="left"/>
      <w:pPr>
        <w:ind w:left="4457" w:hanging="360"/>
      </w:pPr>
    </w:lvl>
    <w:lvl w:ilvl="5">
      <w:numFmt w:val="bullet"/>
      <w:lvlText w:val="•"/>
      <w:lvlJc w:val="left"/>
      <w:pPr>
        <w:ind w:left="5362" w:hanging="360"/>
      </w:pPr>
    </w:lvl>
    <w:lvl w:ilvl="6">
      <w:numFmt w:val="bullet"/>
      <w:lvlText w:val="•"/>
      <w:lvlJc w:val="left"/>
      <w:pPr>
        <w:ind w:left="6267" w:hanging="360"/>
      </w:pPr>
    </w:lvl>
    <w:lvl w:ilvl="7">
      <w:numFmt w:val="bullet"/>
      <w:lvlText w:val="•"/>
      <w:lvlJc w:val="left"/>
      <w:pPr>
        <w:ind w:left="7172" w:hanging="360"/>
      </w:pPr>
    </w:lvl>
    <w:lvl w:ilvl="8">
      <w:numFmt w:val="bullet"/>
      <w:lvlText w:val="•"/>
      <w:lvlJc w:val="left"/>
      <w:pPr>
        <w:ind w:left="8076" w:hanging="360"/>
      </w:pPr>
    </w:lvl>
  </w:abstractNum>
  <w:abstractNum w:abstractNumId="1" w15:restartNumberingAfterBreak="0">
    <w:nsid w:val="06127F4B"/>
    <w:multiLevelType w:val="hybridMultilevel"/>
    <w:tmpl w:val="6E3447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D42C1"/>
    <w:multiLevelType w:val="hybridMultilevel"/>
    <w:tmpl w:val="A6687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6BB5"/>
    <w:multiLevelType w:val="hybridMultilevel"/>
    <w:tmpl w:val="BB4A84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D695A"/>
    <w:multiLevelType w:val="hybridMultilevel"/>
    <w:tmpl w:val="D7080DEE"/>
    <w:lvl w:ilvl="0" w:tplc="B00EB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0B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7D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CC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E7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DED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F2E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4E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2AA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1BAA7DC1"/>
    <w:multiLevelType w:val="hybridMultilevel"/>
    <w:tmpl w:val="63C4C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262509B"/>
    <w:multiLevelType w:val="multilevel"/>
    <w:tmpl w:val="AF62EB60"/>
    <w:numStyleLink w:val="ListNumber"/>
  </w:abstractNum>
  <w:abstractNum w:abstractNumId="9" w15:restartNumberingAfterBreak="0">
    <w:nsid w:val="27B57907"/>
    <w:multiLevelType w:val="multilevel"/>
    <w:tmpl w:val="318C1BC6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3D11172"/>
    <w:multiLevelType w:val="hybridMultilevel"/>
    <w:tmpl w:val="FE92E7CC"/>
    <w:lvl w:ilvl="0" w:tplc="2C226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83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66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09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4B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2F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80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04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CF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BC203A"/>
    <w:multiLevelType w:val="multilevel"/>
    <w:tmpl w:val="EC644C88"/>
    <w:numStyleLink w:val="ListParagraph0"/>
  </w:abstractNum>
  <w:abstractNum w:abstractNumId="12" w15:restartNumberingAfterBreak="0">
    <w:nsid w:val="3BF26A71"/>
    <w:multiLevelType w:val="multilevel"/>
    <w:tmpl w:val="EC644C88"/>
    <w:styleLink w:val="ListParagraph0"/>
    <w:lvl w:ilvl="0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3" w15:restartNumberingAfterBreak="0">
    <w:nsid w:val="422410F8"/>
    <w:multiLevelType w:val="hybridMultilevel"/>
    <w:tmpl w:val="6366C7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35D5E"/>
    <w:multiLevelType w:val="hybridMultilevel"/>
    <w:tmpl w:val="78A6181C"/>
    <w:lvl w:ilvl="0" w:tplc="307C5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46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300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2E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E4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6D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CF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EFE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61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A1E37FF"/>
    <w:multiLevelType w:val="multilevel"/>
    <w:tmpl w:val="0ACA3976"/>
    <w:numStyleLink w:val="ListNbrHeading"/>
  </w:abstractNum>
  <w:abstractNum w:abstractNumId="16" w15:restartNumberingAfterBreak="0">
    <w:nsid w:val="4C2615DA"/>
    <w:multiLevelType w:val="hybridMultilevel"/>
    <w:tmpl w:val="12F823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A84934"/>
    <w:multiLevelType w:val="hybridMultilevel"/>
    <w:tmpl w:val="3CE444CC"/>
    <w:lvl w:ilvl="0" w:tplc="BBB46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43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483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F0C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CC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4C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6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48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06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9A4359"/>
    <w:multiLevelType w:val="hybridMultilevel"/>
    <w:tmpl w:val="FFFC15CE"/>
    <w:lvl w:ilvl="0" w:tplc="C8946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81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6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C0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80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29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C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A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AB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637C51"/>
    <w:multiLevelType w:val="hybridMultilevel"/>
    <w:tmpl w:val="F7A2C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ED0C7D"/>
    <w:multiLevelType w:val="hybridMultilevel"/>
    <w:tmpl w:val="78002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B56C27"/>
    <w:multiLevelType w:val="hybridMultilevel"/>
    <w:tmpl w:val="D2FA5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350AA"/>
    <w:multiLevelType w:val="hybridMultilevel"/>
    <w:tmpl w:val="AE2C8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F127C"/>
    <w:multiLevelType w:val="hybridMultilevel"/>
    <w:tmpl w:val="B8C840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717F9D"/>
    <w:multiLevelType w:val="hybridMultilevel"/>
    <w:tmpl w:val="0DC24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40417">
    <w:abstractNumId w:val="16"/>
  </w:num>
  <w:num w:numId="2" w16cid:durableId="1445227900">
    <w:abstractNumId w:val="21"/>
  </w:num>
  <w:num w:numId="3" w16cid:durableId="1001933425">
    <w:abstractNumId w:val="0"/>
  </w:num>
  <w:num w:numId="4" w16cid:durableId="800458074">
    <w:abstractNumId w:val="2"/>
  </w:num>
  <w:num w:numId="5" w16cid:durableId="1818260794">
    <w:abstractNumId w:val="22"/>
  </w:num>
  <w:num w:numId="6" w16cid:durableId="833569331">
    <w:abstractNumId w:val="24"/>
  </w:num>
  <w:num w:numId="7" w16cid:durableId="324668255">
    <w:abstractNumId w:val="19"/>
  </w:num>
  <w:num w:numId="8" w16cid:durableId="545871632">
    <w:abstractNumId w:val="13"/>
  </w:num>
  <w:num w:numId="9" w16cid:durableId="1954709188">
    <w:abstractNumId w:val="23"/>
  </w:num>
  <w:num w:numId="10" w16cid:durableId="1275943517">
    <w:abstractNumId w:val="20"/>
  </w:num>
  <w:num w:numId="11" w16cid:durableId="993528415">
    <w:abstractNumId w:val="1"/>
  </w:num>
  <w:num w:numId="12" w16cid:durableId="120463779">
    <w:abstractNumId w:val="6"/>
  </w:num>
  <w:num w:numId="13" w16cid:durableId="2023773850">
    <w:abstractNumId w:val="3"/>
  </w:num>
  <w:num w:numId="14" w16cid:durableId="1113935451">
    <w:abstractNumId w:val="12"/>
  </w:num>
  <w:num w:numId="15" w16cid:durableId="1288926054">
    <w:abstractNumId w:val="9"/>
  </w:num>
  <w:num w:numId="16" w16cid:durableId="1801604675">
    <w:abstractNumId w:val="11"/>
  </w:num>
  <w:num w:numId="17" w16cid:durableId="650838911">
    <w:abstractNumId w:val="5"/>
  </w:num>
  <w:num w:numId="18" w16cid:durableId="1440831722">
    <w:abstractNumId w:val="8"/>
  </w:num>
  <w:num w:numId="19" w16cid:durableId="1035735705">
    <w:abstractNumId w:val="9"/>
  </w:num>
  <w:num w:numId="20" w16cid:durableId="848300803">
    <w:abstractNumId w:val="18"/>
  </w:num>
  <w:num w:numId="21" w16cid:durableId="1919362183">
    <w:abstractNumId w:val="14"/>
  </w:num>
  <w:num w:numId="22" w16cid:durableId="517549215">
    <w:abstractNumId w:val="17"/>
  </w:num>
  <w:num w:numId="23" w16cid:durableId="976690379">
    <w:abstractNumId w:val="9"/>
  </w:num>
  <w:num w:numId="24" w16cid:durableId="1821115870">
    <w:abstractNumId w:val="9"/>
  </w:num>
  <w:num w:numId="25" w16cid:durableId="670564886">
    <w:abstractNumId w:val="9"/>
  </w:num>
  <w:num w:numId="26" w16cid:durableId="891844477">
    <w:abstractNumId w:val="15"/>
  </w:num>
  <w:num w:numId="27" w16cid:durableId="910845589">
    <w:abstractNumId w:val="7"/>
  </w:num>
  <w:num w:numId="28" w16cid:durableId="2004043391">
    <w:abstractNumId w:val="9"/>
  </w:num>
  <w:num w:numId="29" w16cid:durableId="252126926">
    <w:abstractNumId w:val="10"/>
  </w:num>
  <w:num w:numId="30" w16cid:durableId="33847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B9"/>
    <w:rsid w:val="00004B85"/>
    <w:rsid w:val="00004CC6"/>
    <w:rsid w:val="00017FB9"/>
    <w:rsid w:val="000246A7"/>
    <w:rsid w:val="000427F2"/>
    <w:rsid w:val="000434E9"/>
    <w:rsid w:val="00046FE1"/>
    <w:rsid w:val="00052080"/>
    <w:rsid w:val="00052620"/>
    <w:rsid w:val="000547A4"/>
    <w:rsid w:val="00065A11"/>
    <w:rsid w:val="00080556"/>
    <w:rsid w:val="000825BA"/>
    <w:rsid w:val="0008312C"/>
    <w:rsid w:val="000854FD"/>
    <w:rsid w:val="00086A00"/>
    <w:rsid w:val="000A0A4A"/>
    <w:rsid w:val="000A0F32"/>
    <w:rsid w:val="000A657C"/>
    <w:rsid w:val="000B414B"/>
    <w:rsid w:val="000C2DE1"/>
    <w:rsid w:val="000D624D"/>
    <w:rsid w:val="000D71EA"/>
    <w:rsid w:val="000E3415"/>
    <w:rsid w:val="000E7ED5"/>
    <w:rsid w:val="000F4EED"/>
    <w:rsid w:val="000F4FCA"/>
    <w:rsid w:val="000F6632"/>
    <w:rsid w:val="001038E6"/>
    <w:rsid w:val="00104EFA"/>
    <w:rsid w:val="00110B58"/>
    <w:rsid w:val="00114419"/>
    <w:rsid w:val="0011658C"/>
    <w:rsid w:val="00120CE9"/>
    <w:rsid w:val="001232D4"/>
    <w:rsid w:val="0012422C"/>
    <w:rsid w:val="0012509A"/>
    <w:rsid w:val="00130F68"/>
    <w:rsid w:val="00134C3E"/>
    <w:rsid w:val="00141FD8"/>
    <w:rsid w:val="0014422A"/>
    <w:rsid w:val="0017526D"/>
    <w:rsid w:val="001A1DFF"/>
    <w:rsid w:val="001A3095"/>
    <w:rsid w:val="001C4D69"/>
    <w:rsid w:val="001C500D"/>
    <w:rsid w:val="001D20EE"/>
    <w:rsid w:val="001E6971"/>
    <w:rsid w:val="001F1523"/>
    <w:rsid w:val="00204975"/>
    <w:rsid w:val="00204EF7"/>
    <w:rsid w:val="00205C81"/>
    <w:rsid w:val="0022335F"/>
    <w:rsid w:val="00223FA7"/>
    <w:rsid w:val="002546DB"/>
    <w:rsid w:val="00254F38"/>
    <w:rsid w:val="00266F28"/>
    <w:rsid w:val="002761B7"/>
    <w:rsid w:val="0028251F"/>
    <w:rsid w:val="00284844"/>
    <w:rsid w:val="00287023"/>
    <w:rsid w:val="00287486"/>
    <w:rsid w:val="002902B6"/>
    <w:rsid w:val="00291E97"/>
    <w:rsid w:val="00295AE9"/>
    <w:rsid w:val="00296015"/>
    <w:rsid w:val="002978C5"/>
    <w:rsid w:val="002B286C"/>
    <w:rsid w:val="002B7EEA"/>
    <w:rsid w:val="002C3967"/>
    <w:rsid w:val="002D5C61"/>
    <w:rsid w:val="002E22EC"/>
    <w:rsid w:val="002E2E04"/>
    <w:rsid w:val="002F770D"/>
    <w:rsid w:val="003009FA"/>
    <w:rsid w:val="00305EB0"/>
    <w:rsid w:val="00322FE7"/>
    <w:rsid w:val="003313FD"/>
    <w:rsid w:val="0034739C"/>
    <w:rsid w:val="0035195B"/>
    <w:rsid w:val="0036557A"/>
    <w:rsid w:val="00365D2A"/>
    <w:rsid w:val="00371716"/>
    <w:rsid w:val="00374FE0"/>
    <w:rsid w:val="003802E8"/>
    <w:rsid w:val="003A66ED"/>
    <w:rsid w:val="003C3EB3"/>
    <w:rsid w:val="003C49B4"/>
    <w:rsid w:val="003E33F3"/>
    <w:rsid w:val="003E6443"/>
    <w:rsid w:val="003F4592"/>
    <w:rsid w:val="003F565D"/>
    <w:rsid w:val="003F5672"/>
    <w:rsid w:val="003F6FA1"/>
    <w:rsid w:val="003F722C"/>
    <w:rsid w:val="00416023"/>
    <w:rsid w:val="004167A0"/>
    <w:rsid w:val="00420792"/>
    <w:rsid w:val="004248C6"/>
    <w:rsid w:val="00432B67"/>
    <w:rsid w:val="00434220"/>
    <w:rsid w:val="00440EC6"/>
    <w:rsid w:val="00447C2C"/>
    <w:rsid w:val="00460627"/>
    <w:rsid w:val="004650BE"/>
    <w:rsid w:val="0047125A"/>
    <w:rsid w:val="00474EE6"/>
    <w:rsid w:val="00483E0B"/>
    <w:rsid w:val="00492703"/>
    <w:rsid w:val="00494324"/>
    <w:rsid w:val="004B42C5"/>
    <w:rsid w:val="004C006D"/>
    <w:rsid w:val="004C181F"/>
    <w:rsid w:val="004C3504"/>
    <w:rsid w:val="004C4706"/>
    <w:rsid w:val="004D5773"/>
    <w:rsid w:val="004D73A8"/>
    <w:rsid w:val="004D73B4"/>
    <w:rsid w:val="005010A5"/>
    <w:rsid w:val="0050283E"/>
    <w:rsid w:val="00504E2C"/>
    <w:rsid w:val="00506099"/>
    <w:rsid w:val="0051052A"/>
    <w:rsid w:val="005210E5"/>
    <w:rsid w:val="00521B16"/>
    <w:rsid w:val="00521FA6"/>
    <w:rsid w:val="00532739"/>
    <w:rsid w:val="00537166"/>
    <w:rsid w:val="00541B2D"/>
    <w:rsid w:val="00542BDB"/>
    <w:rsid w:val="00550BC7"/>
    <w:rsid w:val="00555CB4"/>
    <w:rsid w:val="0056114D"/>
    <w:rsid w:val="0056290B"/>
    <w:rsid w:val="005644FF"/>
    <w:rsid w:val="005804D3"/>
    <w:rsid w:val="00581D9F"/>
    <w:rsid w:val="00590F23"/>
    <w:rsid w:val="0059463C"/>
    <w:rsid w:val="00596A1D"/>
    <w:rsid w:val="005A7E0E"/>
    <w:rsid w:val="005B20B6"/>
    <w:rsid w:val="005C00C5"/>
    <w:rsid w:val="005C3ECB"/>
    <w:rsid w:val="005C4250"/>
    <w:rsid w:val="005D35DC"/>
    <w:rsid w:val="005D4123"/>
    <w:rsid w:val="005E1C96"/>
    <w:rsid w:val="005E2E89"/>
    <w:rsid w:val="005E481B"/>
    <w:rsid w:val="005F06B1"/>
    <w:rsid w:val="00600EDF"/>
    <w:rsid w:val="00603959"/>
    <w:rsid w:val="00605201"/>
    <w:rsid w:val="00614217"/>
    <w:rsid w:val="0061451D"/>
    <w:rsid w:val="006251F5"/>
    <w:rsid w:val="00632218"/>
    <w:rsid w:val="00651C83"/>
    <w:rsid w:val="0065221D"/>
    <w:rsid w:val="00657D2B"/>
    <w:rsid w:val="0066131E"/>
    <w:rsid w:val="00662634"/>
    <w:rsid w:val="00667F7A"/>
    <w:rsid w:val="0067791C"/>
    <w:rsid w:val="00677E59"/>
    <w:rsid w:val="006A13CF"/>
    <w:rsid w:val="006A55DA"/>
    <w:rsid w:val="006A761F"/>
    <w:rsid w:val="006B4902"/>
    <w:rsid w:val="006C231F"/>
    <w:rsid w:val="006D42B9"/>
    <w:rsid w:val="006E77DA"/>
    <w:rsid w:val="00711431"/>
    <w:rsid w:val="00711A02"/>
    <w:rsid w:val="0071205B"/>
    <w:rsid w:val="00714E96"/>
    <w:rsid w:val="00725D45"/>
    <w:rsid w:val="00734FA5"/>
    <w:rsid w:val="0074128E"/>
    <w:rsid w:val="00751032"/>
    <w:rsid w:val="007519DF"/>
    <w:rsid w:val="00755ECB"/>
    <w:rsid w:val="00764A30"/>
    <w:rsid w:val="00764B6D"/>
    <w:rsid w:val="0076583D"/>
    <w:rsid w:val="00766209"/>
    <w:rsid w:val="007676C2"/>
    <w:rsid w:val="007718BB"/>
    <w:rsid w:val="00780741"/>
    <w:rsid w:val="00781EC2"/>
    <w:rsid w:val="0079095D"/>
    <w:rsid w:val="007916B2"/>
    <w:rsid w:val="007A2FE6"/>
    <w:rsid w:val="007A480F"/>
    <w:rsid w:val="007B0019"/>
    <w:rsid w:val="007B04DD"/>
    <w:rsid w:val="007B328F"/>
    <w:rsid w:val="007B5BCD"/>
    <w:rsid w:val="007D3938"/>
    <w:rsid w:val="007D597C"/>
    <w:rsid w:val="007F2E79"/>
    <w:rsid w:val="007F4095"/>
    <w:rsid w:val="00800A1A"/>
    <w:rsid w:val="00801270"/>
    <w:rsid w:val="00805BED"/>
    <w:rsid w:val="008126BF"/>
    <w:rsid w:val="008201F2"/>
    <w:rsid w:val="008206E0"/>
    <w:rsid w:val="00832962"/>
    <w:rsid w:val="00836ADD"/>
    <w:rsid w:val="00841F36"/>
    <w:rsid w:val="00851221"/>
    <w:rsid w:val="00863C44"/>
    <w:rsid w:val="00870613"/>
    <w:rsid w:val="00871482"/>
    <w:rsid w:val="0087149B"/>
    <w:rsid w:val="00873304"/>
    <w:rsid w:val="0087487B"/>
    <w:rsid w:val="00875866"/>
    <w:rsid w:val="008936E3"/>
    <w:rsid w:val="00897DE7"/>
    <w:rsid w:val="008A399C"/>
    <w:rsid w:val="008A6C19"/>
    <w:rsid w:val="008B4AD4"/>
    <w:rsid w:val="008B6148"/>
    <w:rsid w:val="008C5832"/>
    <w:rsid w:val="008D4A2F"/>
    <w:rsid w:val="008D5C44"/>
    <w:rsid w:val="008D7455"/>
    <w:rsid w:val="008E3359"/>
    <w:rsid w:val="008E7623"/>
    <w:rsid w:val="00907454"/>
    <w:rsid w:val="0091019D"/>
    <w:rsid w:val="00912078"/>
    <w:rsid w:val="00915755"/>
    <w:rsid w:val="00927AB4"/>
    <w:rsid w:val="009337D6"/>
    <w:rsid w:val="009452BD"/>
    <w:rsid w:val="00960540"/>
    <w:rsid w:val="00964936"/>
    <w:rsid w:val="00975A44"/>
    <w:rsid w:val="00982834"/>
    <w:rsid w:val="009871F5"/>
    <w:rsid w:val="00991F27"/>
    <w:rsid w:val="00992075"/>
    <w:rsid w:val="00994510"/>
    <w:rsid w:val="009A0842"/>
    <w:rsid w:val="009A30CF"/>
    <w:rsid w:val="009A5FD3"/>
    <w:rsid w:val="009A7994"/>
    <w:rsid w:val="009B2973"/>
    <w:rsid w:val="009C6422"/>
    <w:rsid w:val="009F1A9A"/>
    <w:rsid w:val="009F790B"/>
    <w:rsid w:val="00A079E5"/>
    <w:rsid w:val="00A205F4"/>
    <w:rsid w:val="00A22236"/>
    <w:rsid w:val="00A2755C"/>
    <w:rsid w:val="00A3306A"/>
    <w:rsid w:val="00A438C5"/>
    <w:rsid w:val="00A46472"/>
    <w:rsid w:val="00A528E9"/>
    <w:rsid w:val="00A53086"/>
    <w:rsid w:val="00A53D2F"/>
    <w:rsid w:val="00A5522F"/>
    <w:rsid w:val="00A5543A"/>
    <w:rsid w:val="00A55C29"/>
    <w:rsid w:val="00A669AA"/>
    <w:rsid w:val="00A769A7"/>
    <w:rsid w:val="00A92C29"/>
    <w:rsid w:val="00A96B58"/>
    <w:rsid w:val="00AB52BC"/>
    <w:rsid w:val="00AC2260"/>
    <w:rsid w:val="00AC5499"/>
    <w:rsid w:val="00AC75F1"/>
    <w:rsid w:val="00AD179E"/>
    <w:rsid w:val="00AD5A37"/>
    <w:rsid w:val="00B00CDE"/>
    <w:rsid w:val="00B11015"/>
    <w:rsid w:val="00B116C5"/>
    <w:rsid w:val="00B13454"/>
    <w:rsid w:val="00B1444C"/>
    <w:rsid w:val="00B2562B"/>
    <w:rsid w:val="00B316C9"/>
    <w:rsid w:val="00B32200"/>
    <w:rsid w:val="00B3262D"/>
    <w:rsid w:val="00B339DB"/>
    <w:rsid w:val="00B33D63"/>
    <w:rsid w:val="00B35258"/>
    <w:rsid w:val="00B372E5"/>
    <w:rsid w:val="00B3789C"/>
    <w:rsid w:val="00B50B1B"/>
    <w:rsid w:val="00B522B7"/>
    <w:rsid w:val="00B5747B"/>
    <w:rsid w:val="00B615D7"/>
    <w:rsid w:val="00B77DE3"/>
    <w:rsid w:val="00B80518"/>
    <w:rsid w:val="00BA4C51"/>
    <w:rsid w:val="00BB592B"/>
    <w:rsid w:val="00BC1E4B"/>
    <w:rsid w:val="00BC291B"/>
    <w:rsid w:val="00BC2C3F"/>
    <w:rsid w:val="00BD4DA1"/>
    <w:rsid w:val="00BF0700"/>
    <w:rsid w:val="00BF25D0"/>
    <w:rsid w:val="00BF6069"/>
    <w:rsid w:val="00C01988"/>
    <w:rsid w:val="00C0200B"/>
    <w:rsid w:val="00C12973"/>
    <w:rsid w:val="00C12FE1"/>
    <w:rsid w:val="00C13A82"/>
    <w:rsid w:val="00C2459E"/>
    <w:rsid w:val="00C32EDC"/>
    <w:rsid w:val="00C34B06"/>
    <w:rsid w:val="00C35267"/>
    <w:rsid w:val="00C3568C"/>
    <w:rsid w:val="00C40CD6"/>
    <w:rsid w:val="00C46B55"/>
    <w:rsid w:val="00C56954"/>
    <w:rsid w:val="00C5736C"/>
    <w:rsid w:val="00C624F4"/>
    <w:rsid w:val="00C72D19"/>
    <w:rsid w:val="00C82574"/>
    <w:rsid w:val="00C96389"/>
    <w:rsid w:val="00CA0E15"/>
    <w:rsid w:val="00CA1C5E"/>
    <w:rsid w:val="00CA1EFD"/>
    <w:rsid w:val="00CA4DD0"/>
    <w:rsid w:val="00CA5FFE"/>
    <w:rsid w:val="00CA6FCF"/>
    <w:rsid w:val="00CB24AA"/>
    <w:rsid w:val="00CB7B87"/>
    <w:rsid w:val="00CC02F5"/>
    <w:rsid w:val="00CC0BD6"/>
    <w:rsid w:val="00CC359A"/>
    <w:rsid w:val="00CC3F81"/>
    <w:rsid w:val="00CD2C89"/>
    <w:rsid w:val="00CE420E"/>
    <w:rsid w:val="00CF665E"/>
    <w:rsid w:val="00D14FDB"/>
    <w:rsid w:val="00D25AFD"/>
    <w:rsid w:val="00D26549"/>
    <w:rsid w:val="00D335BF"/>
    <w:rsid w:val="00D34A8D"/>
    <w:rsid w:val="00D43722"/>
    <w:rsid w:val="00D45101"/>
    <w:rsid w:val="00D45D50"/>
    <w:rsid w:val="00D52246"/>
    <w:rsid w:val="00D60D9C"/>
    <w:rsid w:val="00D6569D"/>
    <w:rsid w:val="00D71A5D"/>
    <w:rsid w:val="00D87E2B"/>
    <w:rsid w:val="00D9105C"/>
    <w:rsid w:val="00D96DD9"/>
    <w:rsid w:val="00D9783D"/>
    <w:rsid w:val="00D97A25"/>
    <w:rsid w:val="00D97ABA"/>
    <w:rsid w:val="00DA3A47"/>
    <w:rsid w:val="00DB0F33"/>
    <w:rsid w:val="00DB5ABA"/>
    <w:rsid w:val="00DC4126"/>
    <w:rsid w:val="00DC47AB"/>
    <w:rsid w:val="00DC649B"/>
    <w:rsid w:val="00DD2372"/>
    <w:rsid w:val="00DD2830"/>
    <w:rsid w:val="00DF13A2"/>
    <w:rsid w:val="00DF63FB"/>
    <w:rsid w:val="00DF7E58"/>
    <w:rsid w:val="00E06CA0"/>
    <w:rsid w:val="00E115AF"/>
    <w:rsid w:val="00E116AA"/>
    <w:rsid w:val="00E127ED"/>
    <w:rsid w:val="00E1469F"/>
    <w:rsid w:val="00E15505"/>
    <w:rsid w:val="00E21788"/>
    <w:rsid w:val="00E235B2"/>
    <w:rsid w:val="00E314FE"/>
    <w:rsid w:val="00E342CB"/>
    <w:rsid w:val="00E4006D"/>
    <w:rsid w:val="00E41FED"/>
    <w:rsid w:val="00E50F19"/>
    <w:rsid w:val="00E6135F"/>
    <w:rsid w:val="00E8470D"/>
    <w:rsid w:val="00E85E09"/>
    <w:rsid w:val="00E917DC"/>
    <w:rsid w:val="00E9761A"/>
    <w:rsid w:val="00EA404D"/>
    <w:rsid w:val="00EB18D0"/>
    <w:rsid w:val="00EC11F0"/>
    <w:rsid w:val="00EC1FBE"/>
    <w:rsid w:val="00EC765D"/>
    <w:rsid w:val="00ED0DBB"/>
    <w:rsid w:val="00EE2ED8"/>
    <w:rsid w:val="00EE3315"/>
    <w:rsid w:val="00EE4F0E"/>
    <w:rsid w:val="00EF05CD"/>
    <w:rsid w:val="00EF54BB"/>
    <w:rsid w:val="00EF7401"/>
    <w:rsid w:val="00F13B90"/>
    <w:rsid w:val="00F207D4"/>
    <w:rsid w:val="00F25B7A"/>
    <w:rsid w:val="00F40402"/>
    <w:rsid w:val="00F47C99"/>
    <w:rsid w:val="00F5078F"/>
    <w:rsid w:val="00F51236"/>
    <w:rsid w:val="00F62D1E"/>
    <w:rsid w:val="00F65413"/>
    <w:rsid w:val="00F73267"/>
    <w:rsid w:val="00F75E8E"/>
    <w:rsid w:val="00F76A48"/>
    <w:rsid w:val="00F847E4"/>
    <w:rsid w:val="00F85D74"/>
    <w:rsid w:val="00F861B8"/>
    <w:rsid w:val="00F94533"/>
    <w:rsid w:val="00F9754C"/>
    <w:rsid w:val="00FB089F"/>
    <w:rsid w:val="00FB0F2E"/>
    <w:rsid w:val="00FB6FAF"/>
    <w:rsid w:val="00FC01AD"/>
    <w:rsid w:val="00FC0CD2"/>
    <w:rsid w:val="00FC3F37"/>
    <w:rsid w:val="00FD1B7C"/>
    <w:rsid w:val="00FD69E9"/>
    <w:rsid w:val="00FF0B88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A5813"/>
  <w15:chartTrackingRefBased/>
  <w15:docId w15:val="{5B9BB875-1784-4615-8A1A-6005123B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2"/>
    <w:link w:val="Heading2Char"/>
    <w:qFormat/>
    <w:rsid w:val="00420792"/>
    <w:pPr>
      <w:spacing w:before="240" w:after="60" w:line="360" w:lineRule="auto"/>
      <w:ind w:right="391"/>
      <w:outlineLvl w:val="1"/>
    </w:pPr>
    <w:rPr>
      <w:rFonts w:ascii="Century Gothic" w:hAnsi="Century Gothic"/>
      <w:b/>
      <w:bCs/>
      <w:color w:val="0070C0"/>
    </w:rPr>
  </w:style>
  <w:style w:type="paragraph" w:styleId="Heading3">
    <w:name w:val="heading 3"/>
    <w:basedOn w:val="Normal"/>
    <w:link w:val="Heading3Char"/>
    <w:qFormat/>
    <w:rsid w:val="000D624D"/>
    <w:pPr>
      <w:spacing w:before="240" w:after="240" w:line="240" w:lineRule="auto"/>
      <w:jc w:val="both"/>
      <w:outlineLvl w:val="2"/>
    </w:pPr>
    <w:rPr>
      <w:rFonts w:ascii="Arial" w:eastAsia="Times New Roman" w:hAnsi="Arial" w:cs="Arial"/>
      <w:bCs/>
      <w:kern w:val="0"/>
      <w:szCs w:val="26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1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4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FB9"/>
    <w:pPr>
      <w:ind w:left="720"/>
      <w:contextualSpacing/>
    </w:pPr>
  </w:style>
  <w:style w:type="table" w:styleId="TableGrid">
    <w:name w:val="Table Grid"/>
    <w:basedOn w:val="TableNormal"/>
    <w:uiPriority w:val="39"/>
    <w:rsid w:val="00F4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47C9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5A7E0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20792"/>
    <w:rPr>
      <w:rFonts w:ascii="Century Gothic" w:hAnsi="Century Gothic"/>
      <w:b/>
      <w:bCs/>
      <w:color w:val="0070C0"/>
    </w:rPr>
  </w:style>
  <w:style w:type="character" w:customStyle="1" w:styleId="Heading3Char">
    <w:name w:val="Heading 3 Char"/>
    <w:basedOn w:val="DefaultParagraphFont"/>
    <w:link w:val="Heading3"/>
    <w:rsid w:val="000D624D"/>
    <w:rPr>
      <w:rFonts w:ascii="Arial" w:eastAsia="Times New Roman" w:hAnsi="Arial" w:cs="Arial"/>
      <w:bCs/>
      <w:kern w:val="0"/>
      <w:szCs w:val="26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62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624D"/>
  </w:style>
  <w:style w:type="paragraph" w:styleId="BodyText">
    <w:name w:val="Body Text"/>
    <w:basedOn w:val="Normal"/>
    <w:link w:val="BodyTextChar"/>
    <w:uiPriority w:val="99"/>
    <w:semiHidden/>
    <w:unhideWhenUsed/>
    <w:rsid w:val="00BA4C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C51"/>
  </w:style>
  <w:style w:type="paragraph" w:customStyle="1" w:styleId="TableText">
    <w:name w:val="Table Text"/>
    <w:basedOn w:val="Normal"/>
    <w:link w:val="TableTextChar"/>
    <w:uiPriority w:val="3"/>
    <w:qFormat/>
    <w:rsid w:val="002978C5"/>
    <w:pPr>
      <w:spacing w:before="60" w:after="60" w:line="360" w:lineRule="auto"/>
      <w:ind w:left="113" w:right="113"/>
    </w:pPr>
    <w:rPr>
      <w:kern w:val="0"/>
      <w:sz w:val="20"/>
      <w14:ligatures w14:val="none"/>
    </w:rPr>
  </w:style>
  <w:style w:type="paragraph" w:customStyle="1" w:styleId="ListParagraph2">
    <w:name w:val="List Paragraph 2"/>
    <w:basedOn w:val="ListParagraph"/>
    <w:uiPriority w:val="19"/>
    <w:rsid w:val="00CC0BD6"/>
    <w:pPr>
      <w:spacing w:before="60" w:after="60" w:line="360" w:lineRule="auto"/>
      <w:ind w:left="568"/>
      <w:contextualSpacing w:val="0"/>
    </w:pPr>
    <w:rPr>
      <w:kern w:val="0"/>
      <w:sz w:val="20"/>
      <w14:ligatures w14:val="none"/>
    </w:rPr>
  </w:style>
  <w:style w:type="paragraph" w:customStyle="1" w:styleId="ListParagraph3">
    <w:name w:val="List Paragraph 3"/>
    <w:basedOn w:val="ListParagraph"/>
    <w:uiPriority w:val="19"/>
    <w:rsid w:val="00CC0BD6"/>
    <w:pPr>
      <w:spacing w:before="60" w:after="60" w:line="360" w:lineRule="auto"/>
      <w:ind w:left="852"/>
      <w:contextualSpacing w:val="0"/>
    </w:pPr>
    <w:rPr>
      <w:kern w:val="0"/>
      <w:sz w:val="20"/>
      <w14:ligatures w14:val="none"/>
    </w:rPr>
  </w:style>
  <w:style w:type="paragraph" w:customStyle="1" w:styleId="ListParagraph4">
    <w:name w:val="List Paragraph 4"/>
    <w:basedOn w:val="ListParagraph"/>
    <w:uiPriority w:val="19"/>
    <w:rsid w:val="00CC0BD6"/>
    <w:pPr>
      <w:spacing w:before="60" w:after="60" w:line="360" w:lineRule="auto"/>
      <w:ind w:left="1136"/>
      <w:contextualSpacing w:val="0"/>
    </w:pPr>
    <w:rPr>
      <w:kern w:val="0"/>
      <w:sz w:val="20"/>
      <w14:ligatures w14:val="none"/>
    </w:rPr>
  </w:style>
  <w:style w:type="paragraph" w:customStyle="1" w:styleId="ListParagraph5">
    <w:name w:val="List Paragraph 5"/>
    <w:basedOn w:val="ListParagraph"/>
    <w:uiPriority w:val="19"/>
    <w:rsid w:val="00CC0BD6"/>
    <w:pPr>
      <w:spacing w:before="60" w:after="60" w:line="360" w:lineRule="auto"/>
      <w:ind w:left="1420"/>
      <w:contextualSpacing w:val="0"/>
    </w:pPr>
    <w:rPr>
      <w:kern w:val="0"/>
      <w:sz w:val="20"/>
      <w14:ligatures w14:val="none"/>
    </w:rPr>
  </w:style>
  <w:style w:type="paragraph" w:customStyle="1" w:styleId="ListParagraph6">
    <w:name w:val="List Paragraph 6"/>
    <w:basedOn w:val="ListParagraph"/>
    <w:uiPriority w:val="19"/>
    <w:rsid w:val="00CC0BD6"/>
    <w:pPr>
      <w:spacing w:before="60" w:after="60" w:line="360" w:lineRule="auto"/>
      <w:ind w:left="1704"/>
      <w:contextualSpacing w:val="0"/>
    </w:pPr>
    <w:rPr>
      <w:kern w:val="0"/>
      <w:sz w:val="20"/>
      <w14:ligatures w14:val="none"/>
    </w:rPr>
  </w:style>
  <w:style w:type="numbering" w:customStyle="1" w:styleId="ListParagraph0">
    <w:name w:val="List Paragraph0"/>
    <w:uiPriority w:val="99"/>
    <w:rsid w:val="00CC0BD6"/>
    <w:pPr>
      <w:numPr>
        <w:numId w:val="14"/>
      </w:numPr>
    </w:pPr>
  </w:style>
  <w:style w:type="paragraph" w:customStyle="1" w:styleId="TableBullet">
    <w:name w:val="Table Bullet"/>
    <w:basedOn w:val="TableText"/>
    <w:uiPriority w:val="4"/>
    <w:qFormat/>
    <w:rsid w:val="00C40CD6"/>
    <w:pPr>
      <w:numPr>
        <w:numId w:val="15"/>
      </w:numPr>
      <w:spacing w:line="276" w:lineRule="auto"/>
    </w:pPr>
    <w:rPr>
      <w:rFonts w:ascii="Century Gothic" w:hAnsi="Century Gothic"/>
      <w:szCs w:val="20"/>
      <w:lang w:val="en-US"/>
    </w:rPr>
  </w:style>
  <w:style w:type="paragraph" w:customStyle="1" w:styleId="TableBullet2">
    <w:name w:val="Table Bullet 2"/>
    <w:basedOn w:val="TableBullet"/>
    <w:uiPriority w:val="19"/>
    <w:rsid w:val="00CC0BD6"/>
  </w:style>
  <w:style w:type="numbering" w:customStyle="1" w:styleId="ListTableBullet">
    <w:name w:val="List_TableBullet"/>
    <w:uiPriority w:val="99"/>
    <w:rsid w:val="00CC0BD6"/>
    <w:pPr>
      <w:numPr>
        <w:numId w:val="15"/>
      </w:numPr>
    </w:pPr>
  </w:style>
  <w:style w:type="paragraph" w:styleId="ListNumber0">
    <w:name w:val="List Number"/>
    <w:basedOn w:val="BodyText"/>
    <w:uiPriority w:val="2"/>
    <w:qFormat/>
    <w:rsid w:val="00CC0BD6"/>
    <w:pPr>
      <w:numPr>
        <w:numId w:val="18"/>
      </w:numPr>
      <w:spacing w:before="60" w:after="60" w:line="360" w:lineRule="auto"/>
    </w:pPr>
    <w:rPr>
      <w:kern w:val="0"/>
      <w:sz w:val="20"/>
      <w14:ligatures w14:val="none"/>
    </w:rPr>
  </w:style>
  <w:style w:type="paragraph" w:customStyle="1" w:styleId="ListNumber6">
    <w:name w:val="List Number 6"/>
    <w:basedOn w:val="ListNumber0"/>
    <w:uiPriority w:val="19"/>
    <w:rsid w:val="00CC0BD6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CC0BD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CC0BD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CC0BD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CC0BD6"/>
    <w:pPr>
      <w:numPr>
        <w:ilvl w:val="4"/>
      </w:numPr>
    </w:pPr>
  </w:style>
  <w:style w:type="numbering" w:customStyle="1" w:styleId="ListNumber">
    <w:name w:val="List_Number"/>
    <w:uiPriority w:val="99"/>
    <w:rsid w:val="00CC0BD6"/>
    <w:pPr>
      <w:numPr>
        <w:numId w:val="17"/>
      </w:numPr>
    </w:pPr>
  </w:style>
  <w:style w:type="paragraph" w:customStyle="1" w:styleId="Tableheading2">
    <w:name w:val="Table heading 2"/>
    <w:basedOn w:val="TableText"/>
    <w:link w:val="Tableheading2Char"/>
    <w:qFormat/>
    <w:rsid w:val="008E7623"/>
    <w:rPr>
      <w:rFonts w:ascii="Century Gothic" w:hAnsi="Century Gothic"/>
      <w:color w:val="4472C4" w:themeColor="accent1"/>
      <w:szCs w:val="20"/>
    </w:rPr>
  </w:style>
  <w:style w:type="character" w:customStyle="1" w:styleId="TableTextChar">
    <w:name w:val="Table Text Char"/>
    <w:basedOn w:val="DefaultParagraphFont"/>
    <w:link w:val="TableText"/>
    <w:uiPriority w:val="3"/>
    <w:rsid w:val="008E7623"/>
    <w:rPr>
      <w:kern w:val="0"/>
      <w:sz w:val="20"/>
      <w14:ligatures w14:val="none"/>
    </w:rPr>
  </w:style>
  <w:style w:type="character" w:customStyle="1" w:styleId="Tableheading2Char">
    <w:name w:val="Table heading 2 Char"/>
    <w:basedOn w:val="TableTextChar"/>
    <w:link w:val="Tableheading2"/>
    <w:rsid w:val="008E7623"/>
    <w:rPr>
      <w:rFonts w:ascii="Century Gothic" w:hAnsi="Century Gothic"/>
      <w:color w:val="4472C4" w:themeColor="accent1"/>
      <w:kern w:val="0"/>
      <w:sz w:val="20"/>
      <w:szCs w:val="20"/>
      <w14:ligatures w14:val="none"/>
    </w:rPr>
  </w:style>
  <w:style w:type="paragraph" w:customStyle="1" w:styleId="NbrHeading1">
    <w:name w:val="Nbr Heading 1"/>
    <w:basedOn w:val="Heading1"/>
    <w:next w:val="BodyText"/>
    <w:uiPriority w:val="1"/>
    <w:qFormat/>
    <w:rsid w:val="00871482"/>
    <w:pPr>
      <w:numPr>
        <w:numId w:val="27"/>
      </w:numPr>
      <w:tabs>
        <w:tab w:val="clear" w:pos="1134"/>
      </w:tabs>
      <w:spacing w:before="360" w:after="240" w:line="360" w:lineRule="auto"/>
      <w:ind w:left="284" w:firstLine="0"/>
    </w:pPr>
    <w:rPr>
      <w:b/>
      <w:color w:val="4472C4" w:themeColor="accent1"/>
      <w:kern w:val="0"/>
      <w:sz w:val="38"/>
      <w14:ligatures w14:val="none"/>
    </w:rPr>
  </w:style>
  <w:style w:type="paragraph" w:customStyle="1" w:styleId="NbrHeading2">
    <w:name w:val="Nbr Heading 2"/>
    <w:basedOn w:val="Heading2"/>
    <w:next w:val="BodyText"/>
    <w:uiPriority w:val="1"/>
    <w:qFormat/>
    <w:rsid w:val="00871482"/>
    <w:pPr>
      <w:keepNext/>
      <w:keepLines/>
      <w:numPr>
        <w:ilvl w:val="1"/>
        <w:numId w:val="27"/>
      </w:numPr>
      <w:spacing w:after="120"/>
      <w:ind w:right="0"/>
    </w:pPr>
    <w:rPr>
      <w:rFonts w:asciiTheme="majorHAnsi" w:eastAsiaTheme="majorEastAsia" w:hAnsiTheme="majorHAnsi" w:cstheme="majorBidi"/>
      <w:bCs w:val="0"/>
      <w:color w:val="2178B0"/>
      <w:kern w:val="0"/>
      <w:szCs w:val="26"/>
      <w14:ligatures w14:val="none"/>
    </w:rPr>
  </w:style>
  <w:style w:type="paragraph" w:customStyle="1" w:styleId="NbrHeading3">
    <w:name w:val="Nbr Heading 3"/>
    <w:basedOn w:val="Heading3"/>
    <w:next w:val="BodyText"/>
    <w:uiPriority w:val="1"/>
    <w:qFormat/>
    <w:rsid w:val="00871482"/>
    <w:pPr>
      <w:keepNext/>
      <w:keepLines/>
      <w:numPr>
        <w:ilvl w:val="2"/>
        <w:numId w:val="27"/>
      </w:numPr>
      <w:spacing w:before="120" w:after="120" w:line="360" w:lineRule="auto"/>
      <w:jc w:val="left"/>
    </w:pPr>
    <w:rPr>
      <w:rFonts w:asciiTheme="majorHAnsi" w:eastAsiaTheme="majorEastAsia" w:hAnsiTheme="majorHAnsi" w:cstheme="majorBidi"/>
      <w:b/>
      <w:bCs w:val="0"/>
      <w:color w:val="4B555A"/>
      <w:sz w:val="20"/>
      <w:szCs w:val="24"/>
    </w:rPr>
  </w:style>
  <w:style w:type="paragraph" w:customStyle="1" w:styleId="NbrHeading4">
    <w:name w:val="Nbr Heading 4"/>
    <w:basedOn w:val="Heading4"/>
    <w:next w:val="BodyText"/>
    <w:uiPriority w:val="1"/>
    <w:qFormat/>
    <w:rsid w:val="00871482"/>
    <w:pPr>
      <w:numPr>
        <w:ilvl w:val="3"/>
        <w:numId w:val="27"/>
      </w:numPr>
      <w:tabs>
        <w:tab w:val="clear" w:pos="1134"/>
      </w:tabs>
      <w:spacing w:before="120" w:after="120" w:line="360" w:lineRule="auto"/>
      <w:ind w:left="1136" w:firstLine="0"/>
    </w:pPr>
    <w:rPr>
      <w:b/>
      <w:color w:val="auto"/>
      <w:kern w:val="0"/>
      <w:sz w:val="20"/>
      <w14:ligatures w14:val="none"/>
    </w:rPr>
  </w:style>
  <w:style w:type="paragraph" w:customStyle="1" w:styleId="NbrHeading5">
    <w:name w:val="Nbr Heading 5"/>
    <w:basedOn w:val="Heading5"/>
    <w:next w:val="BodyText"/>
    <w:uiPriority w:val="1"/>
    <w:rsid w:val="00871482"/>
    <w:pPr>
      <w:numPr>
        <w:ilvl w:val="4"/>
        <w:numId w:val="27"/>
      </w:numPr>
      <w:tabs>
        <w:tab w:val="clear" w:pos="1134"/>
      </w:tabs>
      <w:spacing w:before="240" w:after="120" w:line="360" w:lineRule="auto"/>
      <w:ind w:left="1420" w:firstLine="0"/>
    </w:pPr>
    <w:rPr>
      <w:i/>
      <w:color w:val="auto"/>
      <w:kern w:val="0"/>
      <w:sz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871482"/>
    <w:rPr>
      <w:color w:val="808080"/>
    </w:rPr>
  </w:style>
  <w:style w:type="numbering" w:customStyle="1" w:styleId="ListNbrHeading">
    <w:name w:val="List_NbrHeading"/>
    <w:uiPriority w:val="99"/>
    <w:rsid w:val="00871482"/>
    <w:pPr>
      <w:numPr>
        <w:numId w:val="2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1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14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48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ion">
    <w:name w:val="Revision"/>
    <w:hidden/>
    <w:uiPriority w:val="99"/>
    <w:semiHidden/>
    <w:rsid w:val="008A39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6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1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F2"/>
  </w:style>
  <w:style w:type="paragraph" w:styleId="Footer">
    <w:name w:val="footer"/>
    <w:basedOn w:val="Normal"/>
    <w:link w:val="FooterChar"/>
    <w:uiPriority w:val="99"/>
    <w:unhideWhenUsed/>
    <w:rsid w:val="00042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860</Words>
  <Characters>5783</Characters>
  <Application>Microsoft Office Word</Application>
  <DocSecurity>0</DocSecurity>
  <Lines>169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Kniha</dc:creator>
  <cp:keywords/>
  <dc:description/>
  <cp:lastModifiedBy>Paola Pereanez</cp:lastModifiedBy>
  <cp:revision>30</cp:revision>
  <dcterms:created xsi:type="dcterms:W3CDTF">2023-11-05T02:54:00Z</dcterms:created>
  <dcterms:modified xsi:type="dcterms:W3CDTF">2023-11-06T09:24:00Z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52b36d-f601-4e6b-943f-5f6005588b93_Enabled">
    <vt:lpwstr>true</vt:lpwstr>
  </property>
  <property fmtid="{D5CDD505-2E9C-101B-9397-08002B2CF9AE}" pid="3" name="MSIP_Label_3452b36d-f601-4e6b-943f-5f6005588b93_SetDate">
    <vt:lpwstr>2023-08-02T07:39:30Z</vt:lpwstr>
  </property>
  <property fmtid="{D5CDD505-2E9C-101B-9397-08002B2CF9AE}" pid="4" name="MSIP_Label_3452b36d-f601-4e6b-943f-5f6005588b93_Method">
    <vt:lpwstr>Standard</vt:lpwstr>
  </property>
  <property fmtid="{D5CDD505-2E9C-101B-9397-08002B2CF9AE}" pid="5" name="MSIP_Label_3452b36d-f601-4e6b-943f-5f6005588b93_Name">
    <vt:lpwstr>Class 2 - Internal Use Only (Private)</vt:lpwstr>
  </property>
  <property fmtid="{D5CDD505-2E9C-101B-9397-08002B2CF9AE}" pid="6" name="MSIP_Label_3452b36d-f601-4e6b-943f-5f6005588b93_SiteId">
    <vt:lpwstr>f9b6d7c0-2c21-4f56-b69d-347b8d3e3da9</vt:lpwstr>
  </property>
  <property fmtid="{D5CDD505-2E9C-101B-9397-08002B2CF9AE}" pid="7" name="MSIP_Label_3452b36d-f601-4e6b-943f-5f6005588b93_ActionId">
    <vt:lpwstr>bd789f9b-b222-477c-a1a8-cf0724eb8f51</vt:lpwstr>
  </property>
  <property fmtid="{D5CDD505-2E9C-101B-9397-08002B2CF9AE}" pid="8" name="MSIP_Label_3452b36d-f601-4e6b-943f-5f6005588b93_ContentBits">
    <vt:lpwstr>0</vt:lpwstr>
  </property>
</Properties>
</file>